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2F" w:rsidRPr="00025697" w:rsidRDefault="002B0E2F" w:rsidP="002B0E2F">
      <w:pPr>
        <w:pStyle w:val="Pro-Gramma"/>
        <w:spacing w:before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025697">
        <w:rPr>
          <w:rFonts w:ascii="Times New Roman" w:hAnsi="Times New Roman"/>
          <w:b/>
          <w:sz w:val="24"/>
        </w:rPr>
        <w:t>Информация</w:t>
      </w:r>
    </w:p>
    <w:p w:rsidR="002B0E2F" w:rsidRDefault="002B0E2F" w:rsidP="002B0E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025697">
        <w:rPr>
          <w:rFonts w:ascii="Times New Roman" w:hAnsi="Times New Roman"/>
          <w:b/>
          <w:sz w:val="24"/>
        </w:rPr>
        <w:t xml:space="preserve">о результатах мониторинга качества финансового менеджмента </w:t>
      </w:r>
    </w:p>
    <w:p w:rsidR="002B0E2F" w:rsidRDefault="002B0E2F" w:rsidP="002B0E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025697">
        <w:rPr>
          <w:rFonts w:ascii="Times New Roman" w:hAnsi="Times New Roman"/>
          <w:b/>
          <w:sz w:val="24"/>
        </w:rPr>
        <w:t xml:space="preserve">главных администраторов средств местного бюджета </w:t>
      </w:r>
    </w:p>
    <w:p w:rsidR="002B0E2F" w:rsidRDefault="002B0E2F" w:rsidP="002B0E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025697">
        <w:rPr>
          <w:rFonts w:ascii="Times New Roman" w:hAnsi="Times New Roman"/>
          <w:b/>
          <w:sz w:val="24"/>
        </w:rPr>
        <w:t>Сосновоборского городского округа</w:t>
      </w:r>
    </w:p>
    <w:p w:rsidR="00ED25F4" w:rsidRPr="00025697" w:rsidRDefault="00ED25F4" w:rsidP="002B0E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</w:t>
      </w:r>
      <w:r w:rsidR="008E2925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</w:t>
      </w:r>
    </w:p>
    <w:p w:rsidR="002B0E2F" w:rsidRPr="00025697" w:rsidRDefault="002B0E2F" w:rsidP="002B0E2F">
      <w:pPr>
        <w:pStyle w:val="Pro-Gramma"/>
        <w:spacing w:before="0" w:line="240" w:lineRule="auto"/>
        <w:ind w:left="0" w:firstLine="709"/>
        <w:rPr>
          <w:sz w:val="24"/>
        </w:rPr>
      </w:pP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 xml:space="preserve">Комитетом финансов Сосновоборского городского округа Ленинградской области в соответствии со </w:t>
      </w:r>
      <w:hyperlink r:id="rId7" w:history="1">
        <w:r w:rsidRPr="00B01B87">
          <w:rPr>
            <w:rFonts w:ascii="Times New Roman" w:hAnsi="Times New Roman"/>
            <w:sz w:val="24"/>
          </w:rPr>
          <w:t>статьей 160.2-1</w:t>
        </w:r>
      </w:hyperlink>
      <w:r w:rsidRPr="00B01B87">
        <w:rPr>
          <w:rFonts w:ascii="Times New Roman" w:hAnsi="Times New Roman"/>
          <w:sz w:val="24"/>
        </w:rPr>
        <w:t xml:space="preserve"> Бюджетного кодекса Российской Федерации проведен мониторинг качества финансового менеджмента  главных администраторов средств местного бюджета Сосновоборского городского округа (далее - ГАБС) за 2024 год.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Мониторинг качества финансового менеджмента главных администраторов Сосновоборского городского округа проводился в соответствии с постановлением администрации от 28.10.2016 № 2446 «Об утверждении Порядка проведения оценки качества финансового менеджмента главных распорядителей средств местного бюджета Сосновоборского городского округа» (с изменениями) в разрезе следующих групп показателей:</w:t>
      </w:r>
    </w:p>
    <w:p w:rsidR="00B01B87" w:rsidRPr="00B01B87" w:rsidRDefault="00B01B87" w:rsidP="00B01B87">
      <w:pPr>
        <w:pStyle w:val="Pro-Gramma"/>
        <w:numPr>
          <w:ilvl w:val="0"/>
          <w:numId w:val="28"/>
        </w:numPr>
        <w:spacing w:before="0" w:line="240" w:lineRule="auto"/>
        <w:ind w:left="567" w:hanging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Показатели оценки качества исполнения ГАБС бюджетных полномочий;</w:t>
      </w:r>
    </w:p>
    <w:p w:rsidR="00B01B87" w:rsidRPr="00B01B87" w:rsidRDefault="00B01B87" w:rsidP="00B01B87">
      <w:pPr>
        <w:pStyle w:val="Pro-Gramma"/>
        <w:numPr>
          <w:ilvl w:val="0"/>
          <w:numId w:val="28"/>
        </w:numPr>
        <w:spacing w:before="0" w:line="240" w:lineRule="auto"/>
        <w:ind w:left="567" w:hanging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Показатели оценки качества управления активами, применяемые для всех ГРБС;</w:t>
      </w:r>
    </w:p>
    <w:p w:rsidR="00B01B87" w:rsidRPr="00B01B87" w:rsidRDefault="00B01B87" w:rsidP="00B01B87">
      <w:pPr>
        <w:pStyle w:val="Pro-Gramma"/>
        <w:numPr>
          <w:ilvl w:val="0"/>
          <w:numId w:val="28"/>
        </w:numPr>
        <w:spacing w:before="0" w:line="240" w:lineRule="auto"/>
        <w:ind w:left="567" w:hanging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Показатели оценки качества осуществления ГРБС закупок товаров, работ и услуг для обеспечения муниципальных нужд.</w:t>
      </w:r>
    </w:p>
    <w:p w:rsidR="00B01B87" w:rsidRPr="00B01B87" w:rsidRDefault="007E049E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главных распорядителей</w:t>
      </w:r>
      <w:r w:rsidR="00B01B87" w:rsidRPr="00B01B87">
        <w:rPr>
          <w:rFonts w:ascii="Times New Roman" w:hAnsi="Times New Roman"/>
          <w:sz w:val="24"/>
        </w:rPr>
        <w:t xml:space="preserve"> средств бюджета муниципального образования, являющихся объектами оценки качества финансового менеджмента:</w:t>
      </w:r>
    </w:p>
    <w:p w:rsidR="00B01B87" w:rsidRPr="00B01B87" w:rsidRDefault="00B01B87" w:rsidP="00E1674C">
      <w:pPr>
        <w:pStyle w:val="Pro-Gramma"/>
        <w:spacing w:before="0"/>
        <w:ind w:left="0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- Администрация Сосновоборского городского округа (далее - Администрация);</w:t>
      </w:r>
    </w:p>
    <w:p w:rsidR="00B01B87" w:rsidRPr="00B01B87" w:rsidRDefault="00B01B87" w:rsidP="00E1674C">
      <w:pPr>
        <w:pStyle w:val="Pro-Gramma"/>
        <w:spacing w:before="0"/>
        <w:ind w:left="0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- Комитет по управлению муниципальным имуществом (далее – КУМИ);</w:t>
      </w:r>
    </w:p>
    <w:p w:rsidR="00B01B87" w:rsidRPr="00B01B87" w:rsidRDefault="00B01B87" w:rsidP="00E1674C">
      <w:pPr>
        <w:pStyle w:val="Pro-Gramma"/>
        <w:spacing w:before="0"/>
        <w:ind w:left="0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- Комитет образования Сосновоборского городского округа (далее – Комитет образования);</w:t>
      </w:r>
    </w:p>
    <w:p w:rsidR="00B01B87" w:rsidRPr="00B01B87" w:rsidRDefault="00B01B87" w:rsidP="00E1674C">
      <w:pPr>
        <w:pStyle w:val="Pro-Gramma"/>
        <w:spacing w:before="0"/>
        <w:ind w:left="0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- Комитет финансов Сосновоборского городского округа (далее – Комитет финансов);</w:t>
      </w:r>
    </w:p>
    <w:p w:rsidR="00B01B87" w:rsidRPr="00B01B87" w:rsidRDefault="00B01B87" w:rsidP="00E1674C">
      <w:pPr>
        <w:pStyle w:val="Pro-Gramma"/>
        <w:spacing w:before="0"/>
        <w:ind w:left="0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- Совет депутатов Сосновоборского городского округа (далее – Совет депутатов)</w:t>
      </w:r>
    </w:p>
    <w:p w:rsidR="00B01B87" w:rsidRPr="00B01B87" w:rsidRDefault="00B01B87" w:rsidP="00E1674C">
      <w:pPr>
        <w:pStyle w:val="Pro-Gramma"/>
        <w:spacing w:before="0"/>
        <w:ind w:left="0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- Контрольно-счетная палата Сосновоборского городского округа (далее – КСП).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При формировании доклада о результатах мониторинга использовалась следующая оценка качества финансового менеджмента: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5"/>
      </w:tblGrid>
      <w:tr w:rsidR="00B01B87" w:rsidRPr="00B01B87" w:rsidTr="00087A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B01B87">
              <w:rPr>
                <w:sz w:val="24"/>
                <w:szCs w:val="24"/>
              </w:rPr>
              <w:t>Характеристика качества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Интервалы интегральной оценки,%</w:t>
            </w:r>
          </w:p>
        </w:tc>
      </w:tr>
      <w:tr w:rsidR="00B01B87" w:rsidRPr="00B01B87" w:rsidTr="00087A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B01B87">
              <w:rPr>
                <w:sz w:val="24"/>
                <w:szCs w:val="24"/>
              </w:rPr>
              <w:t>Высокое качество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proofErr w:type="spellStart"/>
            <w:r w:rsidRPr="00B01B87">
              <w:rPr>
                <w:sz w:val="24"/>
                <w:szCs w:val="24"/>
              </w:rPr>
              <w:t>Gj</w:t>
            </w:r>
            <w:proofErr w:type="spellEnd"/>
            <w:r w:rsidRPr="00B01B87">
              <w:rPr>
                <w:sz w:val="24"/>
                <w:szCs w:val="24"/>
              </w:rPr>
              <w:t xml:space="preserve"> &gt; 85</w:t>
            </w:r>
          </w:p>
        </w:tc>
      </w:tr>
      <w:tr w:rsidR="00B01B87" w:rsidRPr="00B01B87" w:rsidTr="00087A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B01B87">
              <w:rPr>
                <w:sz w:val="24"/>
                <w:szCs w:val="24"/>
              </w:rPr>
              <w:t>Надлежащее качество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 xml:space="preserve">70 &lt; </w:t>
            </w:r>
            <w:proofErr w:type="spellStart"/>
            <w:r w:rsidRPr="00B01B87">
              <w:rPr>
                <w:sz w:val="24"/>
                <w:szCs w:val="24"/>
              </w:rPr>
              <w:t>Gj</w:t>
            </w:r>
            <w:proofErr w:type="spellEnd"/>
            <w:r w:rsidRPr="00B01B87">
              <w:rPr>
                <w:sz w:val="24"/>
                <w:szCs w:val="24"/>
              </w:rPr>
              <w:t xml:space="preserve"> ≥ 85</w:t>
            </w:r>
          </w:p>
        </w:tc>
      </w:tr>
      <w:tr w:rsidR="00B01B87" w:rsidRPr="00B01B87" w:rsidTr="00087A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B01B87">
              <w:rPr>
                <w:sz w:val="24"/>
                <w:szCs w:val="24"/>
              </w:rPr>
              <w:t>Ненадлежащее качество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proofErr w:type="spellStart"/>
            <w:r w:rsidRPr="00B01B87">
              <w:rPr>
                <w:sz w:val="24"/>
                <w:szCs w:val="24"/>
              </w:rPr>
              <w:t>Gj</w:t>
            </w:r>
            <w:proofErr w:type="spellEnd"/>
            <w:r w:rsidRPr="00B01B87">
              <w:rPr>
                <w:sz w:val="24"/>
                <w:szCs w:val="24"/>
              </w:rPr>
              <w:t xml:space="preserve"> ≤ 70</w:t>
            </w:r>
          </w:p>
        </w:tc>
      </w:tr>
    </w:tbl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 итогам проведенного мониторинга 3 ГАБС была присвоена I степень качества финансового менеджмента (высокое качество) (таблица 1) – 50% от общего числа.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 сравнению с предыдущим годом число ГАБС с высоким качеством финансового менеджмента увеличилось на 1 ГАБС.</w:t>
      </w: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B8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Таблица 1. Перечень ГАБС, которым присвоена </w:t>
      </w: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B87">
        <w:rPr>
          <w:rFonts w:ascii="Times New Roman" w:hAnsi="Times New Roman"/>
          <w:b w:val="0"/>
          <w:bCs w:val="0"/>
          <w:color w:val="auto"/>
          <w:sz w:val="24"/>
          <w:szCs w:val="24"/>
        </w:rPr>
        <w:t>I степень качества финансового менеджмента (высокое качество)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9105"/>
      </w:tblGrid>
      <w:tr w:rsidR="00B01B87" w:rsidRPr="00B01B87" w:rsidTr="00087ADE">
        <w:trPr>
          <w:trHeight w:val="277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8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87">
              <w:rPr>
                <w:rFonts w:ascii="Times New Roman" w:hAnsi="Times New Roman"/>
                <w:bCs/>
                <w:sz w:val="24"/>
                <w:szCs w:val="24"/>
              </w:rPr>
              <w:t>ГАБС</w:t>
            </w:r>
          </w:p>
        </w:tc>
      </w:tr>
      <w:tr w:rsidR="00B01B87" w:rsidRPr="00B01B87" w:rsidTr="00087ADE">
        <w:trPr>
          <w:trHeight w:val="292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</w:p>
        </w:tc>
      </w:tr>
      <w:tr w:rsidR="00B01B87" w:rsidRPr="00B01B87" w:rsidTr="00087ADE">
        <w:trPr>
          <w:trHeight w:val="292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Комитет финансов</w:t>
            </w:r>
          </w:p>
        </w:tc>
      </w:tr>
      <w:tr w:rsidR="00B01B87" w:rsidRPr="00B01B87" w:rsidTr="00087ADE">
        <w:trPr>
          <w:trHeight w:val="292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</w:tr>
    </w:tbl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lastRenderedPageBreak/>
        <w:t>II степень качества финансового менеджмента (надлежащее качество) выявлен</w:t>
      </w:r>
      <w:r w:rsidR="007E049E">
        <w:rPr>
          <w:rFonts w:ascii="Times New Roman" w:hAnsi="Times New Roman"/>
          <w:sz w:val="24"/>
        </w:rPr>
        <w:t>а</w:t>
      </w:r>
      <w:bookmarkStart w:id="0" w:name="_GoBack"/>
      <w:bookmarkEnd w:id="0"/>
      <w:r w:rsidRPr="00B01B87">
        <w:rPr>
          <w:rFonts w:ascii="Times New Roman" w:hAnsi="Times New Roman"/>
          <w:sz w:val="24"/>
        </w:rPr>
        <w:t xml:space="preserve"> у 3 ГАБС (таблица 2) 50% от общего числа.</w:t>
      </w:r>
    </w:p>
    <w:p w:rsid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 сравнению с предыдущим годом число ГАБС с надлежащим качеством финансового менеджмента не изменилось.</w:t>
      </w:r>
    </w:p>
    <w:p w:rsidR="00E1674C" w:rsidRPr="00B01B87" w:rsidRDefault="00E1674C" w:rsidP="00E1674C">
      <w:pPr>
        <w:pStyle w:val="Pro-Gramma"/>
        <w:spacing w:before="0"/>
        <w:ind w:left="0" w:firstLine="567"/>
        <w:rPr>
          <w:rFonts w:ascii="Times New Roman" w:hAnsi="Times New Roman"/>
          <w:sz w:val="24"/>
        </w:rPr>
      </w:pP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B8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Таблица 2. Перечень ГАБС, которым присвоена </w:t>
      </w: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B87">
        <w:rPr>
          <w:rFonts w:ascii="Times New Roman" w:hAnsi="Times New Roman"/>
          <w:b w:val="0"/>
          <w:bCs w:val="0"/>
          <w:color w:val="auto"/>
          <w:sz w:val="24"/>
          <w:szCs w:val="24"/>
        </w:rPr>
        <w:t>II степень качества финансового менеджмента (надлежащее качество)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9105"/>
      </w:tblGrid>
      <w:tr w:rsidR="00B01B87" w:rsidRPr="00B01B87" w:rsidTr="00087ADE">
        <w:trPr>
          <w:trHeight w:val="277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8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87">
              <w:rPr>
                <w:rFonts w:ascii="Times New Roman" w:hAnsi="Times New Roman"/>
                <w:bCs/>
                <w:sz w:val="24"/>
                <w:szCs w:val="24"/>
              </w:rPr>
              <w:t>ГАБС</w:t>
            </w:r>
          </w:p>
        </w:tc>
      </w:tr>
      <w:tr w:rsidR="00B01B87" w:rsidRPr="00B01B87" w:rsidTr="00087ADE">
        <w:trPr>
          <w:trHeight w:val="292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КСП</w:t>
            </w:r>
          </w:p>
        </w:tc>
      </w:tr>
      <w:tr w:rsidR="00B01B87" w:rsidRPr="00B01B87" w:rsidTr="00087ADE">
        <w:trPr>
          <w:trHeight w:val="292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</w:tr>
      <w:tr w:rsidR="00B01B87" w:rsidRPr="00B01B87" w:rsidTr="00087ADE">
        <w:trPr>
          <w:trHeight w:val="292"/>
        </w:trPr>
        <w:tc>
          <w:tcPr>
            <w:tcW w:w="1149" w:type="dxa"/>
          </w:tcPr>
          <w:p w:rsidR="00B01B87" w:rsidRPr="00B01B87" w:rsidRDefault="00B01B87" w:rsidP="00087AD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B01B87" w:rsidRPr="00B01B87" w:rsidRDefault="00B01B87" w:rsidP="00087ADE">
            <w:pPr>
              <w:pStyle w:val="Pro-Tab"/>
              <w:spacing w:before="0" w:after="0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8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III степени качества финансового менеджмента (ненадлежащее качество) не выявлено.</w:t>
      </w:r>
    </w:p>
    <w:p w:rsidR="00B01B87" w:rsidRPr="00E1674C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По сравнению с предыдущим годом число ГАБС с ненадлежащим качеством финансового менеджмента уменьшилось на 1 ГАБС.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 xml:space="preserve">В 2024 году качество финансового менеджмента улучшилось, средняя оценка качества по всем ГАБС составила 83,4 баллов, что на 1 балл больше, чем в предыдущем году. 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В наибольшей степени смогли повысить качество финансового менеджмента следующие ГАБС: Совет депутатов (+23,5%) Комитет образования (+5,5%) (таблица 4).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color w:val="FF0000"/>
          <w:sz w:val="24"/>
        </w:rPr>
      </w:pPr>
      <w:r w:rsidRPr="00B01B87">
        <w:rPr>
          <w:rFonts w:ascii="Times New Roman" w:hAnsi="Times New Roman"/>
          <w:sz w:val="24"/>
        </w:rPr>
        <w:t>Значимое снижение качества финансового менеджмента по сравнению с предыдущим годом произошло в КСП (-12,6%), в том числе снижение интегральной оценки КФМ в связи с выявлением нарушений по показателю Р2. – «Число случаев несвоевременного представления ГАБС предложений (таблиц поправок) по расходам при подготовке проекта решения совета депутатов СГО «О внесении изменения в решение совета депутатов «О бюджете Сосновоборского городского округа на текущий год и на плановый период»» (таблица 4).</w:t>
      </w: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B87">
        <w:rPr>
          <w:rFonts w:ascii="Times New Roman" w:hAnsi="Times New Roman"/>
          <w:b w:val="0"/>
          <w:bCs w:val="0"/>
          <w:color w:val="auto"/>
          <w:sz w:val="24"/>
          <w:szCs w:val="24"/>
        </w:rPr>
        <w:t>Таблица 4. Интегральная оценка качества финансового менеджмента ГАБС</w:t>
      </w:r>
    </w:p>
    <w:tbl>
      <w:tblPr>
        <w:tblW w:w="102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1701"/>
        <w:gridCol w:w="1134"/>
        <w:gridCol w:w="1701"/>
        <w:gridCol w:w="993"/>
        <w:gridCol w:w="1307"/>
      </w:tblGrid>
      <w:tr w:rsidR="00B01B87" w:rsidRPr="00B01B87" w:rsidTr="00087ADE">
        <w:trPr>
          <w:trHeight w:val="297"/>
        </w:trPr>
        <w:tc>
          <w:tcPr>
            <w:tcW w:w="426" w:type="dxa"/>
            <w:vMerge w:val="restart"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ГАБС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2300" w:type="dxa"/>
            <w:gridSpan w:val="2"/>
            <w:shd w:val="clear" w:color="auto" w:fill="auto"/>
            <w:noWrap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2024 год/2023 год</w:t>
            </w:r>
          </w:p>
        </w:tc>
      </w:tr>
      <w:tr w:rsidR="00B01B87" w:rsidRPr="00B01B87" w:rsidTr="00087ADE">
        <w:trPr>
          <w:trHeight w:val="1014"/>
        </w:trPr>
        <w:tc>
          <w:tcPr>
            <w:tcW w:w="426" w:type="dxa"/>
            <w:vMerge/>
          </w:tcPr>
          <w:p w:rsidR="00B01B87" w:rsidRPr="00B01B87" w:rsidRDefault="00B01B87" w:rsidP="00087ADE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01B87" w:rsidRPr="00B01B87" w:rsidRDefault="00B01B87" w:rsidP="00087ADE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Интегральная оценка, баллов</w:t>
            </w:r>
          </w:p>
        </w:tc>
        <w:tc>
          <w:tcPr>
            <w:tcW w:w="1701" w:type="dxa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Степень качества управления финансовым менеджментом</w:t>
            </w:r>
          </w:p>
        </w:tc>
        <w:tc>
          <w:tcPr>
            <w:tcW w:w="1134" w:type="dxa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Интегральная оценка, баллов</w:t>
            </w:r>
          </w:p>
        </w:tc>
        <w:tc>
          <w:tcPr>
            <w:tcW w:w="1701" w:type="dxa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Степень качества управления финансовым менеджментом</w:t>
            </w:r>
          </w:p>
        </w:tc>
        <w:tc>
          <w:tcPr>
            <w:tcW w:w="993" w:type="dxa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Изменение</w:t>
            </w:r>
          </w:p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E1674C" w:rsidRPr="00B01B87" w:rsidTr="00FA1BB8">
        <w:trPr>
          <w:trHeight w:val="1014"/>
        </w:trPr>
        <w:tc>
          <w:tcPr>
            <w:tcW w:w="426" w:type="dxa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92,0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92,3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+0,3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повышение степени качества</w:t>
            </w:r>
          </w:p>
        </w:tc>
      </w:tr>
      <w:tr w:rsidR="00E1674C" w:rsidRPr="00B01B87" w:rsidTr="00087ADE">
        <w:trPr>
          <w:trHeight w:val="297"/>
        </w:trPr>
        <w:tc>
          <w:tcPr>
            <w:tcW w:w="426" w:type="dxa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83,9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+5,5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повышение степени качества</w:t>
            </w:r>
          </w:p>
        </w:tc>
      </w:tr>
      <w:tr w:rsidR="00E1674C" w:rsidRPr="00B01B87" w:rsidTr="00087ADE">
        <w:trPr>
          <w:trHeight w:val="297"/>
        </w:trPr>
        <w:tc>
          <w:tcPr>
            <w:tcW w:w="426" w:type="dxa"/>
          </w:tcPr>
          <w:p w:rsidR="00E1674C" w:rsidRPr="00B01B87" w:rsidRDefault="00E1674C" w:rsidP="00E1674C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88,5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674C" w:rsidRPr="00B01B87" w:rsidRDefault="00E1674C" w:rsidP="00E1674C">
            <w:pPr>
              <w:jc w:val="center"/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+23,5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повышение степени качества</w:t>
            </w:r>
          </w:p>
        </w:tc>
      </w:tr>
      <w:tr w:rsidR="00E1674C" w:rsidRPr="00B01B87" w:rsidTr="00087ADE">
        <w:trPr>
          <w:trHeight w:val="297"/>
        </w:trPr>
        <w:tc>
          <w:tcPr>
            <w:tcW w:w="426" w:type="dxa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КСП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96,7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84,1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-12,6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снижение степени качества</w:t>
            </w:r>
          </w:p>
        </w:tc>
      </w:tr>
      <w:tr w:rsidR="00E1674C" w:rsidRPr="00B01B87" w:rsidTr="00E1674C">
        <w:trPr>
          <w:trHeight w:val="521"/>
        </w:trPr>
        <w:tc>
          <w:tcPr>
            <w:tcW w:w="426" w:type="dxa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lastRenderedPageBreak/>
              <w:t>5</w:t>
            </w:r>
          </w:p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КУМИ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81,3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77,5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-3,8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снижение степени качества</w:t>
            </w:r>
          </w:p>
        </w:tc>
      </w:tr>
      <w:tr w:rsidR="00E1674C" w:rsidRPr="00B01B87" w:rsidTr="00E1674C">
        <w:trPr>
          <w:trHeight w:val="536"/>
        </w:trPr>
        <w:tc>
          <w:tcPr>
            <w:tcW w:w="426" w:type="dxa"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75,7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72,6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-3,1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E1674C" w:rsidRPr="00B01B87" w:rsidRDefault="00E1674C" w:rsidP="00E1674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01B87">
              <w:rPr>
                <w:bCs/>
                <w:sz w:val="24"/>
                <w:szCs w:val="24"/>
              </w:rPr>
              <w:t>снижение степени качества</w:t>
            </w:r>
          </w:p>
        </w:tc>
      </w:tr>
    </w:tbl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В группе ГАБС, имевших в отчетном году подведомственные муниципальные учреждения, с высоким и надлежащим качеством финансового менеджмента – 100% от общего числа группы.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В группе ГАБС, не имевших в отчетном году подведомственные муниципальные учреждения, с высоким качеством финансового менеджмента – 50,0% от общего числа группы. С надлежащим качеством финансового менеджмента – 50,0 % от общего числа группы.</w:t>
      </w:r>
    </w:p>
    <w:p w:rsidR="00B01B87" w:rsidRPr="00B01B87" w:rsidRDefault="00B01B87" w:rsidP="00E1674C">
      <w:pPr>
        <w:pStyle w:val="Pro-Gramma"/>
        <w:ind w:left="0" w:firstLine="567"/>
        <w:rPr>
          <w:rFonts w:ascii="Times New Roman" w:hAnsi="Times New Roman"/>
          <w:sz w:val="24"/>
        </w:rPr>
      </w:pPr>
      <w:r w:rsidRPr="00B01B87">
        <w:rPr>
          <w:rFonts w:ascii="Times New Roman" w:hAnsi="Times New Roman"/>
          <w:sz w:val="24"/>
        </w:rPr>
        <w:t>Наиболее низкое качество финансового менеджмента ГАБС оценивается по следующим показателям (таблица 5):</w:t>
      </w:r>
    </w:p>
    <w:p w:rsidR="00E1674C" w:rsidRDefault="00E1674C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B01B87" w:rsidRPr="00B01B87" w:rsidRDefault="00B01B87" w:rsidP="00B01B87">
      <w:pPr>
        <w:pStyle w:val="Pro-TabName"/>
        <w:keepNext w:val="0"/>
        <w:spacing w:before="0" w:after="0"/>
        <w:ind w:firstLine="70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B87">
        <w:rPr>
          <w:rFonts w:ascii="Times New Roman" w:hAnsi="Times New Roman"/>
          <w:b w:val="0"/>
          <w:bCs w:val="0"/>
          <w:color w:val="auto"/>
          <w:sz w:val="24"/>
          <w:szCs w:val="24"/>
        </w:rPr>
        <w:t>Таблица 5. Показатели качества финансового менеджмента с наибольшим числом ГАБС, имеющих значения, соответствующие ненадлежащему качеству финансового менеджмента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11"/>
        <w:gridCol w:w="2347"/>
        <w:gridCol w:w="2551"/>
      </w:tblGrid>
      <w:tr w:rsidR="00B01B87" w:rsidRPr="00B01B87" w:rsidTr="00087ADE">
        <w:trPr>
          <w:trHeight w:val="660"/>
        </w:trPr>
        <w:tc>
          <w:tcPr>
            <w:tcW w:w="592" w:type="dxa"/>
            <w:vMerge w:val="restart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№</w:t>
            </w:r>
            <w:r w:rsidRPr="00B01B8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11" w:type="dxa"/>
            <w:vMerge w:val="restart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Показатель КФМ</w:t>
            </w:r>
          </w:p>
        </w:tc>
        <w:tc>
          <w:tcPr>
            <w:tcW w:w="4898" w:type="dxa"/>
            <w:gridSpan w:val="2"/>
            <w:shd w:val="clear" w:color="auto" w:fill="auto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ГАБС, имеющие ненадлежащее качество финансового менеджмента по показателю</w:t>
            </w:r>
          </w:p>
        </w:tc>
      </w:tr>
      <w:tr w:rsidR="00B01B87" w:rsidRPr="00B01B87" w:rsidTr="00087ADE">
        <w:trPr>
          <w:trHeight w:val="315"/>
        </w:trPr>
        <w:tc>
          <w:tcPr>
            <w:tcW w:w="592" w:type="dxa"/>
            <w:vMerge/>
            <w:vAlign w:val="center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  <w:vMerge/>
            <w:vAlign w:val="center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2023 год</w:t>
            </w:r>
          </w:p>
        </w:tc>
        <w:tc>
          <w:tcPr>
            <w:tcW w:w="2551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2024 год</w:t>
            </w:r>
          </w:p>
        </w:tc>
      </w:tr>
      <w:tr w:rsidR="00B01B87" w:rsidRPr="00B01B87" w:rsidTr="00087ADE">
        <w:trPr>
          <w:trHeight w:val="315"/>
        </w:trPr>
        <w:tc>
          <w:tcPr>
            <w:tcW w:w="592" w:type="dxa"/>
            <w:vAlign w:val="center"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1</w:t>
            </w:r>
          </w:p>
        </w:tc>
        <w:tc>
          <w:tcPr>
            <w:tcW w:w="4711" w:type="dxa"/>
            <w:vAlign w:val="center"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Р2. Число случаев несвоевременного представления ГАБС предложений (таблиц поправок) по расходам при подготовке проекта решения совета депутатов СГО «О внесении изменения в решение совета депутатов «О бюджете Сосновоборского городского округа на текущий год и на плановый период»</w:t>
            </w:r>
          </w:p>
        </w:tc>
        <w:tc>
          <w:tcPr>
            <w:tcW w:w="2347" w:type="dxa"/>
            <w:shd w:val="clear" w:color="000000" w:fill="FFFFFF"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 КУМИ</w:t>
            </w:r>
          </w:p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 xml:space="preserve">Комитет образования </w:t>
            </w:r>
          </w:p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КСП</w:t>
            </w:r>
          </w:p>
        </w:tc>
      </w:tr>
      <w:tr w:rsidR="00B01B87" w:rsidRPr="00B01B87" w:rsidTr="00087ADE">
        <w:trPr>
          <w:trHeight w:val="945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2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Р14. Среднемесячный процент отклонения планируемых и фактических перечислений ГАБС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КУМИ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 КУМИ</w:t>
            </w:r>
          </w:p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Комитет финансов</w:t>
            </w:r>
          </w:p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Совет депутатов</w:t>
            </w:r>
          </w:p>
          <w:p w:rsidR="00B01B87" w:rsidRPr="00B01B87" w:rsidRDefault="00B01B87" w:rsidP="00087ADE">
            <w:pPr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КСП</w:t>
            </w:r>
          </w:p>
        </w:tc>
      </w:tr>
      <w:tr w:rsidR="00B01B87" w:rsidRPr="00B01B87" w:rsidTr="00087ADE">
        <w:trPr>
          <w:trHeight w:val="945"/>
        </w:trPr>
        <w:tc>
          <w:tcPr>
            <w:tcW w:w="592" w:type="dxa"/>
            <w:shd w:val="clear" w:color="000000" w:fill="FFFFFF"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  <w:shd w:val="clear" w:color="000000" w:fill="FFFFFF"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P17. Число случаев нарушения ГАБС бюджетного законодательства, выявленных при осуществлении внешнего и внутреннего муниципального финансового контроля</w:t>
            </w:r>
          </w:p>
        </w:tc>
        <w:tc>
          <w:tcPr>
            <w:tcW w:w="2347" w:type="dxa"/>
            <w:shd w:val="clear" w:color="auto" w:fill="auto"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2551" w:type="dxa"/>
            <w:shd w:val="clear" w:color="auto" w:fill="auto"/>
          </w:tcPr>
          <w:p w:rsidR="00B01B87" w:rsidRPr="00B01B87" w:rsidRDefault="00B01B87" w:rsidP="00087ADE">
            <w:pPr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</w:p>
        </w:tc>
      </w:tr>
      <w:tr w:rsidR="00B01B87" w:rsidRPr="00B01B87" w:rsidTr="00087ADE">
        <w:trPr>
          <w:trHeight w:val="2205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4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P18.1. Наличие случаев направления с нарушением сроков, установленных порядком завершения операций по исполнению местного бюджета Сосновоборского городского округа в отчетном году, заявок на оплату расходов ГАБС и муниципальных казенных учреждений, в отношении которых ГАБС осуществляет полномочия ГРБС, исполненных Комитетом финансов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  <w:t>Комитет финансов</w:t>
            </w:r>
            <w:r w:rsidRPr="00B01B87">
              <w:rPr>
                <w:sz w:val="24"/>
                <w:szCs w:val="24"/>
              </w:rPr>
              <w:br/>
              <w:t>КУМИ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</w:r>
          </w:p>
        </w:tc>
      </w:tr>
      <w:tr w:rsidR="00B01B87" w:rsidRPr="00B01B87" w:rsidTr="00087ADE">
        <w:trPr>
          <w:trHeight w:val="20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5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 xml:space="preserve">P19. Число случаев внесения изменений в муниципальные программы, по которым </w:t>
            </w:r>
            <w:r w:rsidRPr="00B01B87">
              <w:rPr>
                <w:sz w:val="24"/>
                <w:szCs w:val="24"/>
              </w:rPr>
              <w:lastRenderedPageBreak/>
              <w:t>ГАБС выступал ответственным исполнителем, с нарушением установленных нормативными правовыми актами сроков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</w:p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КУМИ</w:t>
            </w:r>
          </w:p>
        </w:tc>
      </w:tr>
      <w:tr w:rsidR="00B01B87" w:rsidRPr="00B01B87" w:rsidTr="00087ADE">
        <w:trPr>
          <w:trHeight w:val="20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P28. Процент муниципальных бюджетных и автономных учреждений, в отношении которых ГАБС осуществляет полномочия учредителя, информация о которых своевременно и в полном объеме размещена на официальном сайте в сети Интернет www.bus.gov.ru в соответствии с требованиями приказа Министерства финансов Российской Федерации от 21 июля 2011 года №86н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  <w:t>Комитет образования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  <w:t>Комитет образования</w:t>
            </w:r>
          </w:p>
        </w:tc>
      </w:tr>
      <w:tr w:rsidR="00B01B87" w:rsidRPr="00B01B87" w:rsidTr="00087ADE">
        <w:trPr>
          <w:trHeight w:val="1260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7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P29. Процент достижения ГАБС значений результатов использования субсидий, предусмотренных соглашениями о предоставлении субсидий (за счет областных средств)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spacing w:after="240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spacing w:after="240"/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</w:p>
        </w:tc>
      </w:tr>
      <w:tr w:rsidR="00B01B87" w:rsidRPr="00B01B87" w:rsidTr="00087ADE">
        <w:trPr>
          <w:trHeight w:val="1260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9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 xml:space="preserve">P33. Процент выполнения первоначального плана по поступлению доходов местного бюджета, закрепленных за ГАДБ 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  <w:t>КУМИ</w:t>
            </w:r>
            <w:r w:rsidRPr="00B01B87">
              <w:rPr>
                <w:sz w:val="24"/>
                <w:szCs w:val="24"/>
              </w:rPr>
              <w:br/>
              <w:t>Комитет образования</w:t>
            </w:r>
            <w:r w:rsidRPr="00B01B87">
              <w:rPr>
                <w:sz w:val="24"/>
                <w:szCs w:val="24"/>
              </w:rPr>
              <w:br/>
              <w:t>Комитет финансов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Совет депутатов</w:t>
            </w:r>
          </w:p>
          <w:p w:rsidR="00B01B87" w:rsidRPr="00B01B87" w:rsidRDefault="00B01B87" w:rsidP="00087ADE">
            <w:pPr>
              <w:rPr>
                <w:color w:val="FF0000"/>
                <w:sz w:val="24"/>
                <w:szCs w:val="24"/>
              </w:rPr>
            </w:pPr>
          </w:p>
        </w:tc>
      </w:tr>
      <w:tr w:rsidR="00B01B87" w:rsidRPr="00B01B87" w:rsidTr="00087ADE">
        <w:trPr>
          <w:trHeight w:val="1260"/>
        </w:trPr>
        <w:tc>
          <w:tcPr>
            <w:tcW w:w="592" w:type="dxa"/>
            <w:shd w:val="clear" w:color="000000" w:fill="FFFFFF"/>
            <w:hideMark/>
          </w:tcPr>
          <w:p w:rsidR="00B01B87" w:rsidRPr="00B01B87" w:rsidRDefault="00B01B87" w:rsidP="00087ADE">
            <w:pPr>
              <w:jc w:val="center"/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10</w:t>
            </w:r>
          </w:p>
        </w:tc>
        <w:tc>
          <w:tcPr>
            <w:tcW w:w="4711" w:type="dxa"/>
            <w:shd w:val="clear" w:color="000000" w:fill="FFFFFF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 xml:space="preserve">Р38. Отношение просроченной дебиторской задолженности ГАБС и муниципальных казенных учреждений, в отношении которых ГАБС осуществляет полномочия ГРБС, к объему бюджетных расходов </w:t>
            </w:r>
          </w:p>
        </w:tc>
        <w:tc>
          <w:tcPr>
            <w:tcW w:w="2347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  <w:t>КУМИ</w:t>
            </w:r>
          </w:p>
        </w:tc>
        <w:tc>
          <w:tcPr>
            <w:tcW w:w="2551" w:type="dxa"/>
            <w:shd w:val="clear" w:color="auto" w:fill="auto"/>
            <w:hideMark/>
          </w:tcPr>
          <w:p w:rsidR="00B01B87" w:rsidRPr="00B01B87" w:rsidRDefault="00B01B87" w:rsidP="00087ADE">
            <w:pPr>
              <w:rPr>
                <w:color w:val="FF0000"/>
                <w:sz w:val="24"/>
                <w:szCs w:val="24"/>
              </w:rPr>
            </w:pPr>
            <w:r w:rsidRPr="00B01B87">
              <w:rPr>
                <w:sz w:val="24"/>
                <w:szCs w:val="24"/>
              </w:rPr>
              <w:t>Администрация</w:t>
            </w:r>
            <w:r w:rsidRPr="00B01B87">
              <w:rPr>
                <w:sz w:val="24"/>
                <w:szCs w:val="24"/>
              </w:rPr>
              <w:br/>
              <w:t>КУМИ</w:t>
            </w:r>
          </w:p>
        </w:tc>
      </w:tr>
    </w:tbl>
    <w:p w:rsidR="002B0E2F" w:rsidRPr="00B01B87" w:rsidRDefault="002B0E2F" w:rsidP="00E1674C">
      <w:pPr>
        <w:pStyle w:val="Pro-Gramma"/>
        <w:spacing w:before="0" w:line="240" w:lineRule="auto"/>
        <w:ind w:left="0"/>
        <w:rPr>
          <w:rFonts w:ascii="Times New Roman" w:hAnsi="Times New Roman"/>
          <w:b/>
          <w:bCs/>
          <w:sz w:val="24"/>
        </w:rPr>
      </w:pPr>
    </w:p>
    <w:sectPr w:rsidR="002B0E2F" w:rsidRPr="00B01B87" w:rsidSect="00DD7C10">
      <w:headerReference w:type="default" r:id="rId8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9D" w:rsidRDefault="004F059D" w:rsidP="002B0E2F">
      <w:r>
        <w:separator/>
      </w:r>
    </w:p>
  </w:endnote>
  <w:endnote w:type="continuationSeparator" w:id="0">
    <w:p w:rsidR="004F059D" w:rsidRDefault="004F059D" w:rsidP="002B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9D" w:rsidRDefault="004F059D" w:rsidP="002B0E2F">
      <w:r>
        <w:separator/>
      </w:r>
    </w:p>
  </w:footnote>
  <w:footnote w:type="continuationSeparator" w:id="0">
    <w:p w:rsidR="004F059D" w:rsidRDefault="004F059D" w:rsidP="002B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AE" w:rsidRDefault="007E049E">
    <w:pPr>
      <w:pStyle w:val="a3"/>
    </w:pPr>
    <w:r>
      <w:rPr>
        <w:noProof/>
      </w:rPr>
      <w:pict>
        <v:rect id="AryanRegN" o:spid="_x0000_s36865" style="position:absolute;margin-left:345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QURgMAAM8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" filled="f" fillcolor="#4f81bd [3204]" stroked="f" strokecolor="#243f60 [1604]" strokeweight="2pt">
          <v:textbox inset="0,0,0,0">
            <w:txbxContent>
              <w:p w:rsidR="00B02F5D" w:rsidRPr="00B02F5D" w:rsidRDefault="00B02F5D" w:rsidP="00B02F5D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6408301/847942(1)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C8278C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</w:lvl>
  </w:abstractNum>
  <w:abstractNum w:abstractNumId="1" w15:restartNumberingAfterBreak="0">
    <w:nsid w:val="FFFFFF7D"/>
    <w:multiLevelType w:val="singleLevel"/>
    <w:tmpl w:val="87147A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E5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686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01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E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E8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E42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69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D6E41"/>
    <w:multiLevelType w:val="hybridMultilevel"/>
    <w:tmpl w:val="40B81F76"/>
    <w:lvl w:ilvl="0" w:tplc="9CF054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27591"/>
    <w:multiLevelType w:val="hybridMultilevel"/>
    <w:tmpl w:val="6FF2FAC0"/>
    <w:lvl w:ilvl="0" w:tplc="0E645E48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 w15:restartNumberingAfterBreak="0">
    <w:nsid w:val="09577611"/>
    <w:multiLevelType w:val="multilevel"/>
    <w:tmpl w:val="64E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99026D"/>
    <w:multiLevelType w:val="hybridMultilevel"/>
    <w:tmpl w:val="833044AC"/>
    <w:lvl w:ilvl="0" w:tplc="4EF44B1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139B5595"/>
    <w:multiLevelType w:val="hybridMultilevel"/>
    <w:tmpl w:val="C3A2C13E"/>
    <w:lvl w:ilvl="0" w:tplc="D25A3F1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D80707E"/>
    <w:multiLevelType w:val="hybridMultilevel"/>
    <w:tmpl w:val="E61C3F12"/>
    <w:lvl w:ilvl="0" w:tplc="D5FCE1C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7" w15:restartNumberingAfterBreak="0">
    <w:nsid w:val="2E29118A"/>
    <w:multiLevelType w:val="hybridMultilevel"/>
    <w:tmpl w:val="951E3F5E"/>
    <w:lvl w:ilvl="0" w:tplc="A7C48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2F1B6486"/>
    <w:multiLevelType w:val="multilevel"/>
    <w:tmpl w:val="64E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C23A91"/>
    <w:multiLevelType w:val="multilevel"/>
    <w:tmpl w:val="64E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93AED"/>
    <w:multiLevelType w:val="hybridMultilevel"/>
    <w:tmpl w:val="B5C4B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321B8"/>
    <w:multiLevelType w:val="hybridMultilevel"/>
    <w:tmpl w:val="E0A83812"/>
    <w:lvl w:ilvl="0" w:tplc="9D5C4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C94C05"/>
    <w:multiLevelType w:val="hybridMultilevel"/>
    <w:tmpl w:val="430447BC"/>
    <w:lvl w:ilvl="0" w:tplc="0E645E4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 w15:restartNumberingAfterBreak="0">
    <w:nsid w:val="6377225B"/>
    <w:multiLevelType w:val="hybridMultilevel"/>
    <w:tmpl w:val="7A8CD33C"/>
    <w:lvl w:ilvl="0" w:tplc="6294476A">
      <w:start w:val="1"/>
      <w:numFmt w:val="decimal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  <w:rPr>
        <w:rFonts w:cs="Times New Roman"/>
      </w:rPr>
    </w:lvl>
  </w:abstractNum>
  <w:abstractNum w:abstractNumId="26" w15:restartNumberingAfterBreak="0">
    <w:nsid w:val="72A613F0"/>
    <w:multiLevelType w:val="hybridMultilevel"/>
    <w:tmpl w:val="430447BC"/>
    <w:lvl w:ilvl="0" w:tplc="0E645E4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7A876453"/>
    <w:multiLevelType w:val="hybridMultilevel"/>
    <w:tmpl w:val="D60C14FC"/>
    <w:lvl w:ilvl="0" w:tplc="4308D5A6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2"/>
  </w:num>
  <w:num w:numId="19">
    <w:abstractNumId w:val="26"/>
  </w:num>
  <w:num w:numId="20">
    <w:abstractNumId w:val="16"/>
  </w:num>
  <w:num w:numId="21">
    <w:abstractNumId w:val="14"/>
  </w:num>
  <w:num w:numId="22">
    <w:abstractNumId w:val="27"/>
  </w:num>
  <w:num w:numId="23">
    <w:abstractNumId w:val="15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0eab22c-4d1a-48b8-8ea3-1074bf14be91"/>
  </w:docVars>
  <w:rsids>
    <w:rsidRoot w:val="002B0E2F"/>
    <w:rsid w:val="00005962"/>
    <w:rsid w:val="00022014"/>
    <w:rsid w:val="000230E3"/>
    <w:rsid w:val="00032969"/>
    <w:rsid w:val="000368C0"/>
    <w:rsid w:val="00046AA9"/>
    <w:rsid w:val="000548AE"/>
    <w:rsid w:val="00057AB4"/>
    <w:rsid w:val="00061FBC"/>
    <w:rsid w:val="00086B5D"/>
    <w:rsid w:val="000946DF"/>
    <w:rsid w:val="000A5050"/>
    <w:rsid w:val="000B0B5B"/>
    <w:rsid w:val="000D3A9E"/>
    <w:rsid w:val="000F26AA"/>
    <w:rsid w:val="0010433C"/>
    <w:rsid w:val="00116523"/>
    <w:rsid w:val="0012478A"/>
    <w:rsid w:val="00124ABE"/>
    <w:rsid w:val="00134FF6"/>
    <w:rsid w:val="0014354D"/>
    <w:rsid w:val="00152546"/>
    <w:rsid w:val="001639F5"/>
    <w:rsid w:val="00175952"/>
    <w:rsid w:val="001C637D"/>
    <w:rsid w:val="001D0766"/>
    <w:rsid w:val="001D1B78"/>
    <w:rsid w:val="001F0C95"/>
    <w:rsid w:val="00206E8A"/>
    <w:rsid w:val="00207A5B"/>
    <w:rsid w:val="00210722"/>
    <w:rsid w:val="00222A92"/>
    <w:rsid w:val="00222B38"/>
    <w:rsid w:val="00231F44"/>
    <w:rsid w:val="00253558"/>
    <w:rsid w:val="00272311"/>
    <w:rsid w:val="00274F2B"/>
    <w:rsid w:val="00277DBE"/>
    <w:rsid w:val="002A0598"/>
    <w:rsid w:val="002B0E2F"/>
    <w:rsid w:val="002B45B0"/>
    <w:rsid w:val="002B5CAE"/>
    <w:rsid w:val="002B666D"/>
    <w:rsid w:val="002C1BC9"/>
    <w:rsid w:val="002C3CAB"/>
    <w:rsid w:val="002C40DC"/>
    <w:rsid w:val="002C6CCA"/>
    <w:rsid w:val="002D1EB8"/>
    <w:rsid w:val="002E24E2"/>
    <w:rsid w:val="002F6427"/>
    <w:rsid w:val="003030EF"/>
    <w:rsid w:val="003046CE"/>
    <w:rsid w:val="0030503C"/>
    <w:rsid w:val="003135E2"/>
    <w:rsid w:val="0031752C"/>
    <w:rsid w:val="003219C6"/>
    <w:rsid w:val="00325614"/>
    <w:rsid w:val="00344061"/>
    <w:rsid w:val="00350109"/>
    <w:rsid w:val="003660BE"/>
    <w:rsid w:val="003669CE"/>
    <w:rsid w:val="00375661"/>
    <w:rsid w:val="003A1F69"/>
    <w:rsid w:val="003B6065"/>
    <w:rsid w:val="003C073C"/>
    <w:rsid w:val="003C4698"/>
    <w:rsid w:val="003C4AD1"/>
    <w:rsid w:val="003D05AE"/>
    <w:rsid w:val="003D5E43"/>
    <w:rsid w:val="003F0629"/>
    <w:rsid w:val="0040099B"/>
    <w:rsid w:val="004035FE"/>
    <w:rsid w:val="0040422C"/>
    <w:rsid w:val="00422AA7"/>
    <w:rsid w:val="00425BA6"/>
    <w:rsid w:val="004325BD"/>
    <w:rsid w:val="00453BD3"/>
    <w:rsid w:val="00457EE7"/>
    <w:rsid w:val="00470B3A"/>
    <w:rsid w:val="00470D2D"/>
    <w:rsid w:val="004751C5"/>
    <w:rsid w:val="004D48F8"/>
    <w:rsid w:val="004F059D"/>
    <w:rsid w:val="004F4405"/>
    <w:rsid w:val="004F6325"/>
    <w:rsid w:val="00501B8C"/>
    <w:rsid w:val="00502B04"/>
    <w:rsid w:val="00515AAE"/>
    <w:rsid w:val="00527B4F"/>
    <w:rsid w:val="00527CCB"/>
    <w:rsid w:val="00534823"/>
    <w:rsid w:val="005425F4"/>
    <w:rsid w:val="0054739C"/>
    <w:rsid w:val="005521C7"/>
    <w:rsid w:val="00562B51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62DF0"/>
    <w:rsid w:val="00675C6F"/>
    <w:rsid w:val="00683392"/>
    <w:rsid w:val="00684320"/>
    <w:rsid w:val="00697CCC"/>
    <w:rsid w:val="006A73C5"/>
    <w:rsid w:val="006B1D5B"/>
    <w:rsid w:val="006B400D"/>
    <w:rsid w:val="006D1432"/>
    <w:rsid w:val="006D3233"/>
    <w:rsid w:val="006D3327"/>
    <w:rsid w:val="006E04F4"/>
    <w:rsid w:val="006F2C51"/>
    <w:rsid w:val="006F3886"/>
    <w:rsid w:val="007158B7"/>
    <w:rsid w:val="0071788D"/>
    <w:rsid w:val="007222FE"/>
    <w:rsid w:val="00723150"/>
    <w:rsid w:val="00723B7C"/>
    <w:rsid w:val="00730E3B"/>
    <w:rsid w:val="007362DD"/>
    <w:rsid w:val="00746F17"/>
    <w:rsid w:val="007663BA"/>
    <w:rsid w:val="00766982"/>
    <w:rsid w:val="00791184"/>
    <w:rsid w:val="00792FDB"/>
    <w:rsid w:val="007A54EC"/>
    <w:rsid w:val="007B2BB7"/>
    <w:rsid w:val="007E049E"/>
    <w:rsid w:val="007E321A"/>
    <w:rsid w:val="007E50A4"/>
    <w:rsid w:val="00805F1E"/>
    <w:rsid w:val="00821021"/>
    <w:rsid w:val="0082549A"/>
    <w:rsid w:val="008331CE"/>
    <w:rsid w:val="0084000B"/>
    <w:rsid w:val="00843438"/>
    <w:rsid w:val="00843F52"/>
    <w:rsid w:val="008554B1"/>
    <w:rsid w:val="0086142F"/>
    <w:rsid w:val="00882429"/>
    <w:rsid w:val="0088303D"/>
    <w:rsid w:val="0089150D"/>
    <w:rsid w:val="008A378F"/>
    <w:rsid w:val="008A4720"/>
    <w:rsid w:val="008B74AE"/>
    <w:rsid w:val="008D33EF"/>
    <w:rsid w:val="008D7255"/>
    <w:rsid w:val="008D787C"/>
    <w:rsid w:val="008E2925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1AE4"/>
    <w:rsid w:val="009A33C7"/>
    <w:rsid w:val="009B5442"/>
    <w:rsid w:val="009C0DD1"/>
    <w:rsid w:val="009C21FC"/>
    <w:rsid w:val="009C288F"/>
    <w:rsid w:val="009E2C1E"/>
    <w:rsid w:val="009F3D19"/>
    <w:rsid w:val="00A174D8"/>
    <w:rsid w:val="00A21B11"/>
    <w:rsid w:val="00A40478"/>
    <w:rsid w:val="00A60AF3"/>
    <w:rsid w:val="00A73C48"/>
    <w:rsid w:val="00A907ED"/>
    <w:rsid w:val="00A94C82"/>
    <w:rsid w:val="00AA10E6"/>
    <w:rsid w:val="00AA1779"/>
    <w:rsid w:val="00AA6AEE"/>
    <w:rsid w:val="00AB6ED0"/>
    <w:rsid w:val="00AC2C3A"/>
    <w:rsid w:val="00AE0ACC"/>
    <w:rsid w:val="00AF0ED0"/>
    <w:rsid w:val="00AF1CB9"/>
    <w:rsid w:val="00B01B87"/>
    <w:rsid w:val="00B02F5D"/>
    <w:rsid w:val="00B03DC4"/>
    <w:rsid w:val="00B1380E"/>
    <w:rsid w:val="00B22300"/>
    <w:rsid w:val="00B4319E"/>
    <w:rsid w:val="00B4728B"/>
    <w:rsid w:val="00B57C22"/>
    <w:rsid w:val="00B774FA"/>
    <w:rsid w:val="00B83637"/>
    <w:rsid w:val="00B9421C"/>
    <w:rsid w:val="00BA603E"/>
    <w:rsid w:val="00BA7175"/>
    <w:rsid w:val="00BA7681"/>
    <w:rsid w:val="00BC62EF"/>
    <w:rsid w:val="00BE11B1"/>
    <w:rsid w:val="00BF21AF"/>
    <w:rsid w:val="00BF45AB"/>
    <w:rsid w:val="00C06573"/>
    <w:rsid w:val="00C10625"/>
    <w:rsid w:val="00C36BD0"/>
    <w:rsid w:val="00C67E2C"/>
    <w:rsid w:val="00C71150"/>
    <w:rsid w:val="00C7434B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01183"/>
    <w:rsid w:val="00D01C08"/>
    <w:rsid w:val="00D14646"/>
    <w:rsid w:val="00D2090E"/>
    <w:rsid w:val="00D257E2"/>
    <w:rsid w:val="00D26D90"/>
    <w:rsid w:val="00D340BD"/>
    <w:rsid w:val="00D34F0F"/>
    <w:rsid w:val="00D4403A"/>
    <w:rsid w:val="00D440C8"/>
    <w:rsid w:val="00D55269"/>
    <w:rsid w:val="00D6009D"/>
    <w:rsid w:val="00D71842"/>
    <w:rsid w:val="00D76F59"/>
    <w:rsid w:val="00D77AC9"/>
    <w:rsid w:val="00D9038E"/>
    <w:rsid w:val="00DA06E6"/>
    <w:rsid w:val="00DA4E0D"/>
    <w:rsid w:val="00DA5A23"/>
    <w:rsid w:val="00DA72CC"/>
    <w:rsid w:val="00DB6983"/>
    <w:rsid w:val="00DD5800"/>
    <w:rsid w:val="00DD7C10"/>
    <w:rsid w:val="00E047A5"/>
    <w:rsid w:val="00E1674C"/>
    <w:rsid w:val="00E30882"/>
    <w:rsid w:val="00E4356E"/>
    <w:rsid w:val="00E47A52"/>
    <w:rsid w:val="00E76055"/>
    <w:rsid w:val="00E907F6"/>
    <w:rsid w:val="00E93526"/>
    <w:rsid w:val="00E97349"/>
    <w:rsid w:val="00EA1CBD"/>
    <w:rsid w:val="00EA2E2F"/>
    <w:rsid w:val="00EA7161"/>
    <w:rsid w:val="00EB7828"/>
    <w:rsid w:val="00EC0342"/>
    <w:rsid w:val="00EC1329"/>
    <w:rsid w:val="00ED2072"/>
    <w:rsid w:val="00ED25F4"/>
    <w:rsid w:val="00ED74E4"/>
    <w:rsid w:val="00EE02F6"/>
    <w:rsid w:val="00EE30B6"/>
    <w:rsid w:val="00EE389E"/>
    <w:rsid w:val="00EF25CE"/>
    <w:rsid w:val="00EF6872"/>
    <w:rsid w:val="00F00BAF"/>
    <w:rsid w:val="00F1209A"/>
    <w:rsid w:val="00F37141"/>
    <w:rsid w:val="00F40E67"/>
    <w:rsid w:val="00F52D90"/>
    <w:rsid w:val="00F61776"/>
    <w:rsid w:val="00F757A8"/>
    <w:rsid w:val="00F758B4"/>
    <w:rsid w:val="00F878E8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2284B1B5"/>
  <w15:docId w15:val="{553761EF-650B-4D01-BA2E-DD7615C0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E2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B0E2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B0E2F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Pro-Gramma"/>
    <w:link w:val="40"/>
    <w:qFormat/>
    <w:rsid w:val="002B0E2F"/>
    <w:pPr>
      <w:keepNext/>
      <w:spacing w:before="480" w:after="240"/>
      <w:ind w:left="426"/>
      <w:outlineLvl w:val="3"/>
    </w:pPr>
    <w:rPr>
      <w:rFonts w:ascii="Verdana" w:hAnsi="Verdana"/>
      <w:b/>
      <w:bCs/>
      <w:szCs w:val="28"/>
    </w:rPr>
  </w:style>
  <w:style w:type="paragraph" w:styleId="5">
    <w:name w:val="heading 5"/>
    <w:basedOn w:val="a"/>
    <w:next w:val="a"/>
    <w:link w:val="50"/>
    <w:qFormat/>
    <w:rsid w:val="002B0E2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E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E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0E2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0E2F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0E2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2B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2B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B0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0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2B0E2F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2B0E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2B0E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B0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2B0E2F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rsid w:val="002B0E2F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2B0E2F"/>
    <w:pPr>
      <w:tabs>
        <w:tab w:val="left" w:pos="1134"/>
      </w:tabs>
      <w:spacing w:before="180"/>
      <w:ind w:hanging="708"/>
    </w:pPr>
  </w:style>
  <w:style w:type="paragraph" w:customStyle="1" w:styleId="Pro-List2">
    <w:name w:val="Pro-List #2"/>
    <w:basedOn w:val="Pro-List1"/>
    <w:rsid w:val="002B0E2F"/>
    <w:pPr>
      <w:tabs>
        <w:tab w:val="clear" w:pos="1134"/>
        <w:tab w:val="left" w:pos="2040"/>
      </w:tabs>
      <w:ind w:left="2040" w:hanging="480"/>
    </w:pPr>
  </w:style>
  <w:style w:type="paragraph" w:customStyle="1" w:styleId="Pro-Tab">
    <w:name w:val="Pro-Tab"/>
    <w:basedOn w:val="Pro-Gramma"/>
    <w:rsid w:val="002B0E2F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table" w:customStyle="1" w:styleId="11">
    <w:name w:val="Сетка таблицы светлая1"/>
    <w:basedOn w:val="a1"/>
    <w:uiPriority w:val="40"/>
    <w:rsid w:val="002B0E2F"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Normal">
    <w:name w:val="ConsNormal"/>
    <w:rsid w:val="002B0E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2B0E2F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2B0E2F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Заголовок Знак"/>
    <w:basedOn w:val="a0"/>
    <w:link w:val="ae"/>
    <w:rsid w:val="002B0E2F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paragraph" w:styleId="af0">
    <w:name w:val="Document Map"/>
    <w:basedOn w:val="a"/>
    <w:link w:val="af1"/>
    <w:uiPriority w:val="99"/>
    <w:unhideWhenUsed/>
    <w:rsid w:val="002B0E2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rsid w:val="002B0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List-1">
    <w:name w:val="Pro-List -1"/>
    <w:basedOn w:val="Pro-List1"/>
    <w:rsid w:val="002B0E2F"/>
    <w:pPr>
      <w:numPr>
        <w:ilvl w:val="2"/>
        <w:numId w:val="4"/>
      </w:numPr>
      <w:tabs>
        <w:tab w:val="clear" w:pos="666"/>
        <w:tab w:val="clear" w:pos="1134"/>
        <w:tab w:val="num" w:pos="360"/>
      </w:tabs>
      <w:ind w:left="1134" w:hanging="708"/>
    </w:pPr>
  </w:style>
  <w:style w:type="paragraph" w:customStyle="1" w:styleId="Pro-Gramma1">
    <w:name w:val="Pro-Gramma #"/>
    <w:basedOn w:val="Pro-Gramma"/>
    <w:qFormat/>
    <w:rsid w:val="002B0E2F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rsid w:val="002B0E2F"/>
    <w:pPr>
      <w:numPr>
        <w:ilvl w:val="3"/>
        <w:numId w:val="5"/>
      </w:numPr>
      <w:tabs>
        <w:tab w:val="clear" w:pos="2880"/>
        <w:tab w:val="num" w:pos="360"/>
      </w:tabs>
      <w:spacing w:before="60"/>
    </w:pPr>
  </w:style>
  <w:style w:type="table" w:customStyle="1" w:styleId="Pro-Table">
    <w:name w:val="Pro-Table"/>
    <w:basedOn w:val="a1"/>
    <w:rsid w:val="002B0E2F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f2">
    <w:name w:val="Table Grid"/>
    <w:basedOn w:val="a1"/>
    <w:uiPriority w:val="39"/>
    <w:rsid w:val="002B0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2B0E2F"/>
    <w:pPr>
      <w:ind w:left="720"/>
      <w:contextualSpacing/>
    </w:pPr>
    <w:rPr>
      <w:sz w:val="24"/>
      <w:szCs w:val="24"/>
    </w:rPr>
  </w:style>
  <w:style w:type="table" w:customStyle="1" w:styleId="af4">
    <w:name w:val="Таблица"/>
    <w:basedOn w:val="a1"/>
    <w:uiPriority w:val="99"/>
    <w:qFormat/>
    <w:rsid w:val="002B0E2F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character" w:styleId="af5">
    <w:name w:val="annotation reference"/>
    <w:basedOn w:val="a0"/>
    <w:uiPriority w:val="99"/>
    <w:rsid w:val="002B0E2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B0E2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B0E2F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2B0E2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9">
    <w:name w:val="Тема примечания Знак"/>
    <w:basedOn w:val="af7"/>
    <w:link w:val="af8"/>
    <w:uiPriority w:val="99"/>
    <w:rsid w:val="002B0E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o-TabName">
    <w:name w:val="Pro-Tab Name"/>
    <w:basedOn w:val="Pro-TabHead"/>
    <w:rsid w:val="002B0E2F"/>
    <w:pPr>
      <w:keepNext/>
      <w:spacing w:before="240" w:after="120"/>
    </w:pPr>
    <w:rPr>
      <w:color w:val="C41C16"/>
    </w:rPr>
  </w:style>
  <w:style w:type="paragraph" w:customStyle="1" w:styleId="ConsPlusTitle">
    <w:name w:val="ConsPlusTitle"/>
    <w:uiPriority w:val="99"/>
    <w:rsid w:val="002B0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a">
    <w:name w:val="Placeholder Text"/>
    <w:basedOn w:val="a0"/>
    <w:uiPriority w:val="99"/>
    <w:semiHidden/>
    <w:rsid w:val="002B0E2F"/>
    <w:rPr>
      <w:color w:val="808080"/>
    </w:rPr>
  </w:style>
  <w:style w:type="paragraph" w:styleId="afb">
    <w:name w:val="endnote text"/>
    <w:basedOn w:val="a"/>
    <w:link w:val="afc"/>
    <w:uiPriority w:val="99"/>
    <w:unhideWhenUsed/>
    <w:rsid w:val="002B0E2F"/>
  </w:style>
  <w:style w:type="character" w:customStyle="1" w:styleId="afc">
    <w:name w:val="Текст концевой сноски Знак"/>
    <w:basedOn w:val="a0"/>
    <w:link w:val="afb"/>
    <w:uiPriority w:val="99"/>
    <w:rsid w:val="002B0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unhideWhenUsed/>
    <w:rsid w:val="002B0E2F"/>
    <w:rPr>
      <w:vertAlign w:val="superscript"/>
    </w:rPr>
  </w:style>
  <w:style w:type="paragraph" w:customStyle="1" w:styleId="formattext">
    <w:name w:val="formattext"/>
    <w:basedOn w:val="a"/>
    <w:rsid w:val="002B0E2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2B0E2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B0E2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f0">
    <w:name w:val="Revision"/>
    <w:hidden/>
    <w:uiPriority w:val="99"/>
    <w:semiHidden/>
    <w:rsid w:val="002B0E2F"/>
    <w:pPr>
      <w:spacing w:after="0" w:line="240" w:lineRule="auto"/>
    </w:pPr>
  </w:style>
  <w:style w:type="paragraph" w:customStyle="1" w:styleId="Bottom">
    <w:name w:val="Bottom"/>
    <w:basedOn w:val="a5"/>
    <w:unhideWhenUsed/>
    <w:rsid w:val="002B0E2F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2B0E2F"/>
  </w:style>
  <w:style w:type="paragraph" w:customStyle="1" w:styleId="NPA-Comment">
    <w:name w:val="NPA-Comment"/>
    <w:basedOn w:val="Pro-Gramma"/>
    <w:rsid w:val="002B0E2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2B0E2F"/>
    <w:pPr>
      <w:tabs>
        <w:tab w:val="left" w:pos="2640"/>
      </w:tabs>
      <w:ind w:left="2640" w:hanging="600"/>
    </w:pPr>
    <w:rPr>
      <w:lang w:val="en-US"/>
    </w:rPr>
  </w:style>
  <w:style w:type="character" w:customStyle="1" w:styleId="Pro-Marka">
    <w:name w:val="Pro-Marka"/>
    <w:basedOn w:val="a0"/>
    <w:rsid w:val="002B0E2F"/>
    <w:rPr>
      <w:b/>
      <w:color w:val="C41C16"/>
    </w:rPr>
  </w:style>
  <w:style w:type="paragraph" w:customStyle="1" w:styleId="Pro-TabHead">
    <w:name w:val="Pro-Tab Head"/>
    <w:basedOn w:val="Pro-Tab"/>
    <w:rsid w:val="002B0E2F"/>
    <w:rPr>
      <w:b/>
      <w:bCs/>
    </w:rPr>
  </w:style>
  <w:style w:type="character" w:customStyle="1" w:styleId="Pro-">
    <w:name w:val="Pro-Ссылка"/>
    <w:basedOn w:val="a0"/>
    <w:rsid w:val="002B0E2F"/>
    <w:rPr>
      <w:i/>
      <w:color w:val="808080"/>
      <w:u w:val="none"/>
    </w:rPr>
  </w:style>
  <w:style w:type="character" w:customStyle="1" w:styleId="TextNPA">
    <w:name w:val="Text NPA"/>
    <w:basedOn w:val="a0"/>
    <w:rsid w:val="002B0E2F"/>
    <w:rPr>
      <w:rFonts w:ascii="Courier New" w:hAnsi="Courier New"/>
    </w:rPr>
  </w:style>
  <w:style w:type="character" w:styleId="aff1">
    <w:name w:val="footnote reference"/>
    <w:basedOn w:val="a0"/>
    <w:unhideWhenUsed/>
    <w:rsid w:val="002B0E2F"/>
    <w:rPr>
      <w:vertAlign w:val="superscript"/>
    </w:rPr>
  </w:style>
  <w:style w:type="character" w:styleId="aff2">
    <w:name w:val="page number"/>
    <w:basedOn w:val="a0"/>
    <w:rsid w:val="002B0E2F"/>
    <w:rPr>
      <w:rFonts w:ascii="Verdana" w:hAnsi="Verdana"/>
      <w:b/>
      <w:color w:val="C41C16"/>
      <w:sz w:val="16"/>
    </w:rPr>
  </w:style>
  <w:style w:type="paragraph" w:styleId="12">
    <w:name w:val="toc 1"/>
    <w:basedOn w:val="a"/>
    <w:next w:val="a"/>
    <w:autoRedefine/>
    <w:uiPriority w:val="39"/>
    <w:rsid w:val="002B0E2F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rsid w:val="002B0E2F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f3">
    <w:name w:val="Subtitle"/>
    <w:basedOn w:val="a"/>
    <w:next w:val="a"/>
    <w:link w:val="aff4"/>
    <w:uiPriority w:val="11"/>
    <w:qFormat/>
    <w:rsid w:val="002B0E2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11"/>
    <w:rsid w:val="002B0E2F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3">
    <w:name w:val="Таб1"/>
    <w:basedOn w:val="a"/>
    <w:link w:val="1Char"/>
    <w:qFormat/>
    <w:rsid w:val="002B0E2F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2B0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footnote text"/>
    <w:basedOn w:val="a"/>
    <w:link w:val="aff6"/>
    <w:unhideWhenUsed/>
    <w:rsid w:val="002B0E2F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Текст сноски Знак"/>
    <w:basedOn w:val="a0"/>
    <w:link w:val="aff5"/>
    <w:rsid w:val="002B0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2B0E2F"/>
  </w:style>
  <w:style w:type="paragraph" w:customStyle="1" w:styleId="ConsPlusTextList">
    <w:name w:val="ConsPlusTextList"/>
    <w:rsid w:val="002B0E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richfactdown-paragraph">
    <w:name w:val="richfactdown-paragraph"/>
    <w:basedOn w:val="a"/>
    <w:rsid w:val="002723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ff7">
    <w:name w:val="Strong"/>
    <w:basedOn w:val="a0"/>
    <w:uiPriority w:val="22"/>
    <w:qFormat/>
    <w:rsid w:val="00272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01E8F0E1405FC365DEBFF62BB4087924C221404B632E6E19E5B3DCA0ECB4B6AD5B00305DB058DE6F446EFE27AB70F7487D7F637C1H0C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49</cp:revision>
  <cp:lastPrinted>2025-05-13T11:22:00Z</cp:lastPrinted>
  <dcterms:created xsi:type="dcterms:W3CDTF">2024-03-25T11:49:00Z</dcterms:created>
  <dcterms:modified xsi:type="dcterms:W3CDTF">2025-05-13T14:43:00Z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0d9d27b0-95c2-48db-bb56-f110c970f765</vt:lpwstr>
  </property>
</Properties>
</file>