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F7114D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F7114D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CFA8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FD73B6" w:rsidRDefault="00FD73B6">
      <w:pPr>
        <w:jc w:val="center"/>
        <w:rPr>
          <w:sz w:val="24"/>
        </w:rPr>
      </w:pPr>
      <w:r>
        <w:rPr>
          <w:sz w:val="24"/>
        </w:rPr>
        <w:t xml:space="preserve">от </w:t>
      </w:r>
      <w:r w:rsidR="00AE58BA">
        <w:rPr>
          <w:sz w:val="24"/>
        </w:rPr>
        <w:t>01/06/2026 № 129-р</w:t>
      </w:r>
    </w:p>
    <w:p w:rsidR="00FD73B6" w:rsidRDefault="00FD73B6">
      <w:pPr>
        <w:jc w:val="both"/>
        <w:rPr>
          <w:sz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right="4960"/>
        <w:jc w:val="both"/>
        <w:rPr>
          <w:bCs/>
          <w:sz w:val="24"/>
          <w:szCs w:val="24"/>
        </w:rPr>
      </w:pPr>
      <w:r w:rsidRPr="00D008A8">
        <w:rPr>
          <w:bCs/>
          <w:sz w:val="24"/>
          <w:szCs w:val="24"/>
        </w:rPr>
        <w:t>Об утверждении Программы оздоровления</w:t>
      </w:r>
      <w:r>
        <w:rPr>
          <w:bCs/>
          <w:sz w:val="24"/>
          <w:szCs w:val="24"/>
        </w:rPr>
        <w:t xml:space="preserve"> </w:t>
      </w:r>
      <w:r w:rsidRPr="00D008A8">
        <w:rPr>
          <w:bCs/>
          <w:sz w:val="24"/>
          <w:szCs w:val="24"/>
        </w:rPr>
        <w:t>муниципальных финансов Сосновоборского</w:t>
      </w:r>
      <w:r>
        <w:rPr>
          <w:bCs/>
          <w:sz w:val="24"/>
          <w:szCs w:val="24"/>
        </w:rPr>
        <w:t xml:space="preserve"> </w:t>
      </w:r>
      <w:r w:rsidRPr="00D008A8">
        <w:rPr>
          <w:bCs/>
          <w:sz w:val="24"/>
          <w:szCs w:val="24"/>
        </w:rPr>
        <w:t>городского округа на 2026 год</w:t>
      </w:r>
      <w:r w:rsidRPr="00D008A8">
        <w:rPr>
          <w:sz w:val="24"/>
          <w:szCs w:val="24"/>
        </w:rPr>
        <w:t xml:space="preserve"> </w:t>
      </w:r>
      <w:r w:rsidRPr="00D008A8">
        <w:rPr>
          <w:bCs/>
          <w:sz w:val="24"/>
          <w:szCs w:val="24"/>
        </w:rPr>
        <w:t>и на плановый</w:t>
      </w: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right="4960"/>
        <w:jc w:val="both"/>
        <w:rPr>
          <w:bCs/>
          <w:sz w:val="24"/>
          <w:szCs w:val="24"/>
        </w:rPr>
      </w:pPr>
      <w:r w:rsidRPr="00D008A8">
        <w:rPr>
          <w:bCs/>
          <w:sz w:val="24"/>
          <w:szCs w:val="24"/>
        </w:rPr>
        <w:t>период 2027 - 2029 годов</w:t>
      </w:r>
    </w:p>
    <w:p w:rsidR="00746FD7" w:rsidRPr="00D008A8" w:rsidRDefault="00746FD7" w:rsidP="00746F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746FD7" w:rsidRDefault="00746FD7" w:rsidP="00746F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008A8">
        <w:rPr>
          <w:sz w:val="24"/>
          <w:szCs w:val="24"/>
        </w:rPr>
        <w:t>В целях повышения финансовой устойчивости бюджетной системы С</w:t>
      </w:r>
      <w:r w:rsidRPr="00D008A8">
        <w:rPr>
          <w:bCs/>
          <w:sz w:val="24"/>
          <w:szCs w:val="24"/>
        </w:rPr>
        <w:t>основоборского городского округа</w:t>
      </w:r>
      <w:r w:rsidRPr="00D008A8">
        <w:rPr>
          <w:sz w:val="24"/>
          <w:szCs w:val="24"/>
        </w:rPr>
        <w:t>:</w:t>
      </w: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008A8">
        <w:rPr>
          <w:sz w:val="24"/>
          <w:szCs w:val="24"/>
        </w:rPr>
        <w:t xml:space="preserve">1. Утвердить прилагаемую Программу оздоровления муниципальных финансов </w:t>
      </w:r>
      <w:r w:rsidRPr="00D008A8">
        <w:rPr>
          <w:bCs/>
          <w:sz w:val="24"/>
          <w:szCs w:val="24"/>
        </w:rPr>
        <w:t>Сосновоборского городского округа</w:t>
      </w:r>
      <w:r w:rsidRPr="00D008A8">
        <w:rPr>
          <w:sz w:val="24"/>
          <w:szCs w:val="24"/>
        </w:rPr>
        <w:t xml:space="preserve"> на 2026 год и на плановый период 2027 - 2029 годов (далее – Программа).</w:t>
      </w: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008A8">
        <w:rPr>
          <w:sz w:val="24"/>
          <w:szCs w:val="24"/>
        </w:rPr>
        <w:t xml:space="preserve">2. Органам местного самоуправления </w:t>
      </w:r>
      <w:r w:rsidRPr="00D008A8">
        <w:rPr>
          <w:bCs/>
          <w:sz w:val="24"/>
          <w:szCs w:val="24"/>
        </w:rPr>
        <w:t>Сосновоборского городского округа</w:t>
      </w:r>
      <w:r>
        <w:rPr>
          <w:bCs/>
          <w:sz w:val="24"/>
          <w:szCs w:val="24"/>
        </w:rPr>
        <w:t xml:space="preserve"> и отраслевым, функциональным подразделениям администрации</w:t>
      </w:r>
      <w:r w:rsidRPr="00D008A8">
        <w:rPr>
          <w:sz w:val="24"/>
          <w:szCs w:val="24"/>
        </w:rPr>
        <w:t xml:space="preserve">, ответственным за реализацию мероприятий Плана мероприятий по оздоровлению муниципальных финансов </w:t>
      </w:r>
      <w:r w:rsidRPr="00D008A8">
        <w:rPr>
          <w:bCs/>
          <w:sz w:val="24"/>
          <w:szCs w:val="24"/>
        </w:rPr>
        <w:t>Сосновоборского городского округа</w:t>
      </w:r>
      <w:r w:rsidRPr="00D008A8">
        <w:rPr>
          <w:sz w:val="24"/>
          <w:szCs w:val="24"/>
        </w:rPr>
        <w:t xml:space="preserve"> Программы (далее – План мероприятий), ежеквартально не позднее </w:t>
      </w:r>
      <w:r>
        <w:rPr>
          <w:sz w:val="24"/>
          <w:szCs w:val="24"/>
        </w:rPr>
        <w:t>10</w:t>
      </w:r>
      <w:r w:rsidRPr="00D008A8">
        <w:rPr>
          <w:sz w:val="24"/>
          <w:szCs w:val="24"/>
        </w:rPr>
        <w:t xml:space="preserve">-го числа месяца, следующего за отчетным кварталом, представлять в Комитет финансов </w:t>
      </w:r>
      <w:r w:rsidRPr="00D008A8">
        <w:rPr>
          <w:bCs/>
          <w:sz w:val="24"/>
          <w:szCs w:val="24"/>
        </w:rPr>
        <w:t>Сосновоборского городского округа</w:t>
      </w:r>
      <w:r w:rsidRPr="00D008A8">
        <w:rPr>
          <w:sz w:val="24"/>
          <w:szCs w:val="24"/>
        </w:rPr>
        <w:t xml:space="preserve"> отчет о выполнении Плана мероприятий. </w:t>
      </w:r>
    </w:p>
    <w:p w:rsidR="00746FD7" w:rsidRPr="00D008A8" w:rsidRDefault="00746FD7" w:rsidP="00746FD7">
      <w:pPr>
        <w:pStyle w:val="a3"/>
        <w:ind w:left="-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D008A8">
        <w:rPr>
          <w:sz w:val="24"/>
          <w:szCs w:val="24"/>
        </w:rPr>
        <w:t>3.  Настоящее распоряжение вступает в силу со дня его подписания.</w:t>
      </w:r>
    </w:p>
    <w:p w:rsidR="00746FD7" w:rsidRPr="00D008A8" w:rsidRDefault="00746FD7" w:rsidP="00746FD7">
      <w:pPr>
        <w:ind w:firstLine="708"/>
        <w:jc w:val="both"/>
        <w:rPr>
          <w:sz w:val="24"/>
          <w:szCs w:val="24"/>
        </w:rPr>
      </w:pPr>
      <w:r w:rsidRPr="00D008A8">
        <w:rPr>
          <w:sz w:val="24"/>
          <w:szCs w:val="24"/>
        </w:rPr>
        <w:t>4. Контроль за исполнением настоящего распоряжения возложить на председателя комитета финансов Т.Р. Попову.</w:t>
      </w: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46FD7" w:rsidRPr="00D008A8" w:rsidRDefault="00746FD7" w:rsidP="00746FD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46FD7" w:rsidRPr="00C86A91" w:rsidRDefault="00746FD7" w:rsidP="00746FD7">
      <w:pPr>
        <w:rPr>
          <w:color w:val="FF0000"/>
          <w:sz w:val="24"/>
          <w:szCs w:val="24"/>
        </w:rPr>
      </w:pPr>
      <w:r w:rsidRPr="00C86A91">
        <w:rPr>
          <w:sz w:val="24"/>
          <w:szCs w:val="24"/>
        </w:rPr>
        <w:t>Глава Сосновоборского городского округа                                                             М.В. Воронков</w:t>
      </w:r>
    </w:p>
    <w:p w:rsidR="00746FD7" w:rsidRDefault="00746FD7" w:rsidP="00746FD7">
      <w:pPr>
        <w:jc w:val="both"/>
        <w:rPr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Default="00746FD7" w:rsidP="00746FD7">
      <w:pPr>
        <w:jc w:val="both"/>
        <w:rPr>
          <w:i/>
          <w:sz w:val="24"/>
          <w:szCs w:val="24"/>
        </w:rPr>
      </w:pPr>
    </w:p>
    <w:p w:rsidR="00746FD7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i/>
          <w:sz w:val="24"/>
          <w:szCs w:val="24"/>
        </w:rPr>
      </w:pPr>
    </w:p>
    <w:p w:rsidR="00746FD7" w:rsidRPr="00D008A8" w:rsidRDefault="00746FD7" w:rsidP="00746FD7">
      <w:pPr>
        <w:jc w:val="both"/>
        <w:rPr>
          <w:sz w:val="12"/>
          <w:szCs w:val="12"/>
        </w:rPr>
      </w:pPr>
      <w:r w:rsidRPr="00D008A8">
        <w:rPr>
          <w:i/>
          <w:sz w:val="12"/>
          <w:szCs w:val="12"/>
        </w:rPr>
        <w:t xml:space="preserve"> </w:t>
      </w:r>
      <w:r w:rsidRPr="00D008A8">
        <w:rPr>
          <w:sz w:val="12"/>
          <w:szCs w:val="12"/>
        </w:rPr>
        <w:t>Исп. Блеклова Е.Е.</w:t>
      </w:r>
    </w:p>
    <w:p w:rsidR="00746FD7" w:rsidRPr="00D008A8" w:rsidRDefault="00746FD7" w:rsidP="00746FD7">
      <w:pPr>
        <w:rPr>
          <w:sz w:val="12"/>
          <w:szCs w:val="12"/>
        </w:rPr>
      </w:pPr>
      <w:r w:rsidRPr="00D008A8">
        <w:rPr>
          <w:sz w:val="12"/>
          <w:szCs w:val="12"/>
        </w:rPr>
        <w:t xml:space="preserve">  </w:t>
      </w:r>
      <w:r w:rsidRPr="00D008A8">
        <w:rPr>
          <w:sz w:val="12"/>
          <w:szCs w:val="12"/>
        </w:rPr>
        <w:sym w:font="Wingdings" w:char="0028"/>
      </w:r>
      <w:r w:rsidRPr="00D008A8">
        <w:rPr>
          <w:sz w:val="12"/>
          <w:szCs w:val="12"/>
        </w:rPr>
        <w:t xml:space="preserve">2-99-60 </w:t>
      </w:r>
      <w:r>
        <w:rPr>
          <w:sz w:val="12"/>
          <w:szCs w:val="12"/>
        </w:rPr>
        <w:t>БГ</w:t>
      </w:r>
    </w:p>
    <w:p w:rsidR="00746FD7" w:rsidRPr="00D008A8" w:rsidRDefault="00746FD7" w:rsidP="00746FD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008A8">
        <w:rPr>
          <w:sz w:val="24"/>
          <w:szCs w:val="24"/>
        </w:rPr>
        <w:lastRenderedPageBreak/>
        <w:t>Согласовано:</w:t>
      </w:r>
    </w:p>
    <w:p w:rsidR="00746FD7" w:rsidRPr="00D008A8" w:rsidRDefault="00746FD7" w:rsidP="00746FD7">
      <w:pPr>
        <w:jc w:val="both"/>
        <w:rPr>
          <w:b/>
          <w:sz w:val="24"/>
          <w:szCs w:val="24"/>
        </w:rPr>
      </w:pP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 xml:space="preserve">Первый заместитель главы администрации 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Сосновоборского городского округа</w:t>
      </w: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С.Г. Лютиков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«____»__________ 2026 г.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</w:p>
    <w:p w:rsidR="00746FD7" w:rsidRPr="00D008A8" w:rsidRDefault="00746FD7" w:rsidP="00746FD7">
      <w:pPr>
        <w:jc w:val="both"/>
        <w:rPr>
          <w:sz w:val="24"/>
          <w:szCs w:val="24"/>
        </w:rPr>
      </w:pP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Заместитель главы администрации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 xml:space="preserve"> по социальным вопросам</w:t>
      </w: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Т.В. Горшкова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«____»__________ 2026 г.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</w:p>
    <w:p w:rsidR="00746FD7" w:rsidRPr="00D008A8" w:rsidRDefault="00746FD7" w:rsidP="00746FD7">
      <w:pPr>
        <w:jc w:val="both"/>
        <w:rPr>
          <w:sz w:val="24"/>
          <w:szCs w:val="24"/>
        </w:rPr>
      </w:pPr>
    </w:p>
    <w:p w:rsidR="00746FD7" w:rsidRPr="00D008A8" w:rsidRDefault="00746FD7" w:rsidP="00746FD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08A8">
        <w:rPr>
          <w:rFonts w:ascii="Times New Roman" w:hAnsi="Times New Roman" w:cs="Times New Roman"/>
          <w:b w:val="0"/>
          <w:sz w:val="24"/>
          <w:szCs w:val="24"/>
        </w:rPr>
        <w:t>Заместитель главы администрации</w:t>
      </w:r>
    </w:p>
    <w:p w:rsidR="00746FD7" w:rsidRPr="00D008A8" w:rsidRDefault="00746FD7" w:rsidP="00746FD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08A8">
        <w:rPr>
          <w:rFonts w:ascii="Times New Roman" w:hAnsi="Times New Roman" w:cs="Times New Roman"/>
          <w:b w:val="0"/>
          <w:sz w:val="24"/>
          <w:szCs w:val="24"/>
        </w:rPr>
        <w:t xml:space="preserve">по безопасности, правопорядку и </w:t>
      </w:r>
    </w:p>
    <w:p w:rsidR="00746FD7" w:rsidRPr="00D008A8" w:rsidRDefault="00746FD7" w:rsidP="00746FD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008A8">
        <w:rPr>
          <w:rFonts w:ascii="Times New Roman" w:hAnsi="Times New Roman" w:cs="Times New Roman"/>
          <w:b w:val="0"/>
          <w:sz w:val="24"/>
          <w:szCs w:val="24"/>
        </w:rPr>
        <w:t>организационным  вопросам</w:t>
      </w:r>
    </w:p>
    <w:p w:rsidR="00746FD7" w:rsidRPr="00D008A8" w:rsidRDefault="00746FD7" w:rsidP="00746FD7">
      <w:pPr>
        <w:rPr>
          <w:sz w:val="24"/>
          <w:szCs w:val="24"/>
        </w:rPr>
      </w:pPr>
      <w:r w:rsidRPr="00D008A8">
        <w:rPr>
          <w:sz w:val="24"/>
          <w:szCs w:val="24"/>
        </w:rPr>
        <w:t xml:space="preserve">                                           </w:t>
      </w:r>
    </w:p>
    <w:p w:rsidR="00746FD7" w:rsidRPr="00D008A8" w:rsidRDefault="00746FD7" w:rsidP="00746FD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008A8">
        <w:rPr>
          <w:rFonts w:ascii="Times New Roman" w:hAnsi="Times New Roman" w:cs="Times New Roman"/>
          <w:b w:val="0"/>
          <w:sz w:val="24"/>
          <w:szCs w:val="24"/>
        </w:rPr>
        <w:t>_________________</w:t>
      </w:r>
      <w:r w:rsidRPr="00D008A8">
        <w:rPr>
          <w:rFonts w:ascii="Times New Roman" w:hAnsi="Times New Roman" w:cs="Times New Roman"/>
          <w:sz w:val="24"/>
          <w:szCs w:val="24"/>
        </w:rPr>
        <w:t xml:space="preserve"> </w:t>
      </w:r>
      <w:r w:rsidRPr="00D008A8">
        <w:rPr>
          <w:rFonts w:ascii="Times New Roman" w:hAnsi="Times New Roman" w:cs="Times New Roman"/>
          <w:b w:val="0"/>
          <w:sz w:val="24"/>
          <w:szCs w:val="24"/>
        </w:rPr>
        <w:t xml:space="preserve">А.Ю. Рахматов 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«____»__________ 2026 г.</w:t>
      </w:r>
    </w:p>
    <w:p w:rsidR="00746FD7" w:rsidRPr="00D008A8" w:rsidRDefault="00746FD7" w:rsidP="00746FD7">
      <w:pPr>
        <w:jc w:val="both"/>
        <w:rPr>
          <w:b/>
          <w:sz w:val="24"/>
          <w:szCs w:val="24"/>
        </w:rPr>
      </w:pPr>
    </w:p>
    <w:p w:rsidR="00746FD7" w:rsidRPr="00D008A8" w:rsidRDefault="00746FD7" w:rsidP="00746FD7">
      <w:pPr>
        <w:jc w:val="both"/>
        <w:rPr>
          <w:b/>
          <w:sz w:val="24"/>
          <w:szCs w:val="24"/>
        </w:rPr>
      </w:pPr>
    </w:p>
    <w:p w:rsidR="00746FD7" w:rsidRPr="00D008A8" w:rsidRDefault="00746FD7" w:rsidP="00746FD7">
      <w:pPr>
        <w:pStyle w:val="a4"/>
        <w:spacing w:after="0"/>
        <w:ind w:left="0"/>
      </w:pPr>
      <w:r w:rsidRPr="00D008A8">
        <w:t>Заместитель главы администрации</w:t>
      </w:r>
    </w:p>
    <w:p w:rsidR="00746FD7" w:rsidRPr="00D008A8" w:rsidRDefault="00746FD7" w:rsidP="00746FD7">
      <w:pPr>
        <w:pStyle w:val="a4"/>
        <w:spacing w:after="0"/>
        <w:ind w:left="0"/>
      </w:pPr>
      <w:r w:rsidRPr="00D008A8">
        <w:t>по жилищно-коммунальному комплексу</w:t>
      </w: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А.В. Иванов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«____»__________ 2026 г.</w:t>
      </w:r>
    </w:p>
    <w:p w:rsidR="00746FD7" w:rsidRPr="00D008A8" w:rsidRDefault="00746FD7" w:rsidP="00746FD7">
      <w:pPr>
        <w:jc w:val="center"/>
        <w:rPr>
          <w:b/>
          <w:i/>
          <w:sz w:val="24"/>
          <w:szCs w:val="24"/>
        </w:rPr>
      </w:pPr>
    </w:p>
    <w:p w:rsidR="00746FD7" w:rsidRPr="00D008A8" w:rsidRDefault="00746FD7" w:rsidP="00746FD7">
      <w:pPr>
        <w:jc w:val="center"/>
        <w:rPr>
          <w:b/>
          <w:i/>
          <w:sz w:val="24"/>
          <w:szCs w:val="24"/>
        </w:rPr>
      </w:pPr>
      <w:r w:rsidRPr="00D008A8">
        <w:rPr>
          <w:b/>
          <w:i/>
          <w:sz w:val="24"/>
          <w:szCs w:val="24"/>
        </w:rPr>
        <w:t xml:space="preserve">                                 </w:t>
      </w:r>
    </w:p>
    <w:p w:rsidR="00746FD7" w:rsidRPr="00D008A8" w:rsidRDefault="00746FD7" w:rsidP="00746FD7">
      <w:pPr>
        <w:jc w:val="both"/>
        <w:rPr>
          <w:sz w:val="24"/>
          <w:szCs w:val="24"/>
        </w:rPr>
      </w:pPr>
      <w:r w:rsidRPr="00D008A8">
        <w:rPr>
          <w:sz w:val="24"/>
          <w:szCs w:val="24"/>
        </w:rPr>
        <w:t>Председатель комитета финансов</w:t>
      </w:r>
      <w:r w:rsidRPr="00D008A8">
        <w:rPr>
          <w:sz w:val="24"/>
          <w:szCs w:val="24"/>
        </w:rPr>
        <w:tab/>
      </w:r>
      <w:r w:rsidRPr="00D008A8">
        <w:rPr>
          <w:sz w:val="24"/>
          <w:szCs w:val="24"/>
        </w:rPr>
        <w:tab/>
      </w:r>
      <w:r w:rsidRPr="00D008A8">
        <w:rPr>
          <w:sz w:val="24"/>
          <w:szCs w:val="24"/>
        </w:rPr>
        <w:tab/>
      </w:r>
      <w:r w:rsidRPr="00D008A8">
        <w:rPr>
          <w:sz w:val="24"/>
          <w:szCs w:val="24"/>
        </w:rPr>
        <w:tab/>
      </w:r>
      <w:r w:rsidRPr="00D008A8">
        <w:rPr>
          <w:sz w:val="24"/>
          <w:szCs w:val="24"/>
        </w:rPr>
        <w:tab/>
      </w:r>
      <w:r w:rsidRPr="00D008A8">
        <w:rPr>
          <w:sz w:val="24"/>
          <w:szCs w:val="24"/>
        </w:rPr>
        <w:tab/>
        <w:t xml:space="preserve">      </w:t>
      </w: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Т.Р. Попова</w:t>
      </w:r>
    </w:p>
    <w:p w:rsidR="00746FD7" w:rsidRPr="00D008A8" w:rsidRDefault="00746FD7" w:rsidP="00746FD7">
      <w:pPr>
        <w:pStyle w:val="a4"/>
        <w:ind w:left="0"/>
      </w:pPr>
      <w:r w:rsidRPr="00D008A8">
        <w:t>«____»__________ 2026 г.</w:t>
      </w:r>
    </w:p>
    <w:p w:rsidR="00746FD7" w:rsidRPr="00D008A8" w:rsidRDefault="00746FD7" w:rsidP="00746FD7">
      <w:pPr>
        <w:pStyle w:val="a4"/>
        <w:ind w:left="0"/>
      </w:pPr>
    </w:p>
    <w:p w:rsidR="00746FD7" w:rsidRPr="00D008A8" w:rsidRDefault="00746FD7" w:rsidP="00746FD7">
      <w:pPr>
        <w:pStyle w:val="a4"/>
        <w:ind w:left="0"/>
      </w:pPr>
      <w:r w:rsidRPr="00D008A8">
        <w:t>Начальник общего отдела администрации</w:t>
      </w: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М.С. Смолкина</w:t>
      </w:r>
    </w:p>
    <w:p w:rsidR="00746FD7" w:rsidRPr="00D008A8" w:rsidRDefault="00746FD7" w:rsidP="00746FD7">
      <w:pPr>
        <w:pStyle w:val="a4"/>
        <w:ind w:left="0"/>
      </w:pPr>
      <w:r w:rsidRPr="00D008A8">
        <w:t>«____»__________ 2026 г.</w:t>
      </w:r>
    </w:p>
    <w:p w:rsidR="00746FD7" w:rsidRPr="00D008A8" w:rsidRDefault="00746FD7" w:rsidP="00746FD7">
      <w:pPr>
        <w:rPr>
          <w:sz w:val="24"/>
          <w:szCs w:val="24"/>
        </w:rPr>
      </w:pPr>
    </w:p>
    <w:p w:rsidR="00746FD7" w:rsidRPr="00D008A8" w:rsidRDefault="00746FD7" w:rsidP="00746FD7">
      <w:pPr>
        <w:rPr>
          <w:sz w:val="24"/>
          <w:szCs w:val="24"/>
        </w:rPr>
      </w:pPr>
      <w:r w:rsidRPr="00D008A8">
        <w:rPr>
          <w:sz w:val="24"/>
          <w:szCs w:val="24"/>
        </w:rPr>
        <w:t>Главный специалист, юрисконсульт</w:t>
      </w:r>
    </w:p>
    <w:p w:rsidR="00746FD7" w:rsidRPr="00D008A8" w:rsidRDefault="00746FD7" w:rsidP="00746FD7">
      <w:pPr>
        <w:rPr>
          <w:sz w:val="24"/>
          <w:szCs w:val="24"/>
        </w:rPr>
      </w:pPr>
      <w:r w:rsidRPr="00D008A8">
        <w:rPr>
          <w:sz w:val="24"/>
          <w:szCs w:val="24"/>
        </w:rPr>
        <w:t>юридического отдела администрации</w:t>
      </w:r>
    </w:p>
    <w:p w:rsidR="00746FD7" w:rsidRPr="00D008A8" w:rsidRDefault="00746FD7" w:rsidP="00746FD7">
      <w:pPr>
        <w:ind w:firstLine="131"/>
        <w:rPr>
          <w:sz w:val="24"/>
          <w:szCs w:val="24"/>
        </w:rPr>
      </w:pPr>
    </w:p>
    <w:p w:rsidR="00746FD7" w:rsidRPr="00D008A8" w:rsidRDefault="00746FD7" w:rsidP="00746FD7">
      <w:pPr>
        <w:pStyle w:val="a4"/>
        <w:ind w:left="0"/>
      </w:pPr>
      <w:r>
        <w:t>п</w:t>
      </w:r>
      <w:r w:rsidRPr="00D008A8">
        <w:t>______________ Р.Р. Юсупова</w:t>
      </w:r>
    </w:p>
    <w:p w:rsidR="00746FD7" w:rsidRPr="00D008A8" w:rsidRDefault="00746FD7" w:rsidP="00746FD7">
      <w:pPr>
        <w:pStyle w:val="a4"/>
        <w:ind w:left="0"/>
        <w:rPr>
          <w:b/>
          <w:i/>
        </w:rPr>
      </w:pPr>
      <w:r w:rsidRPr="00D008A8">
        <w:t>«____»__________ 2026 г.</w:t>
      </w:r>
    </w:p>
    <w:p w:rsidR="00746FD7" w:rsidRPr="00D008A8" w:rsidRDefault="00746FD7" w:rsidP="00746FD7">
      <w:pPr>
        <w:jc w:val="right"/>
        <w:rPr>
          <w:sz w:val="24"/>
          <w:szCs w:val="24"/>
        </w:rPr>
      </w:pPr>
      <w:r w:rsidRPr="00D008A8">
        <w:rPr>
          <w:sz w:val="24"/>
          <w:szCs w:val="24"/>
        </w:rPr>
        <w:t>Рассылка:</w:t>
      </w:r>
    </w:p>
    <w:p w:rsidR="00746FD7" w:rsidRPr="00D008A8" w:rsidRDefault="00746FD7" w:rsidP="00746FD7">
      <w:pPr>
        <w:jc w:val="right"/>
        <w:rPr>
          <w:b/>
          <w:caps/>
          <w:sz w:val="24"/>
          <w:szCs w:val="24"/>
        </w:rPr>
      </w:pPr>
      <w:r w:rsidRPr="00D008A8">
        <w:rPr>
          <w:sz w:val="24"/>
          <w:szCs w:val="24"/>
        </w:rPr>
        <w:t>Общий отдел, замы</w:t>
      </w:r>
    </w:p>
    <w:p w:rsidR="00746FD7" w:rsidRPr="00D008A8" w:rsidRDefault="00746FD7" w:rsidP="00746FD7">
      <w:pPr>
        <w:jc w:val="right"/>
        <w:rPr>
          <w:sz w:val="24"/>
          <w:szCs w:val="24"/>
        </w:rPr>
      </w:pPr>
      <w:r w:rsidRPr="00D008A8">
        <w:rPr>
          <w:sz w:val="24"/>
          <w:szCs w:val="24"/>
        </w:rPr>
        <w:t xml:space="preserve"> СД, КСП,  КУМИ, КФ, КО, </w:t>
      </w:r>
    </w:p>
    <w:p w:rsidR="00746FD7" w:rsidRDefault="00746FD7" w:rsidP="00746FD7">
      <w:pPr>
        <w:jc w:val="right"/>
        <w:rPr>
          <w:sz w:val="24"/>
          <w:szCs w:val="24"/>
        </w:rPr>
      </w:pPr>
      <w:r w:rsidRPr="00D008A8">
        <w:rPr>
          <w:sz w:val="24"/>
          <w:szCs w:val="24"/>
        </w:rPr>
        <w:t xml:space="preserve">все структурные подразделения администрации </w:t>
      </w:r>
    </w:p>
    <w:p w:rsidR="000B1719" w:rsidRDefault="000B1719" w:rsidP="00746FD7">
      <w:pPr>
        <w:jc w:val="right"/>
        <w:rPr>
          <w:sz w:val="24"/>
          <w:szCs w:val="24"/>
        </w:rPr>
      </w:pPr>
    </w:p>
    <w:p w:rsidR="000B1719" w:rsidRDefault="000B1719" w:rsidP="00746FD7">
      <w:pPr>
        <w:jc w:val="right"/>
        <w:rPr>
          <w:sz w:val="24"/>
          <w:szCs w:val="24"/>
        </w:rPr>
      </w:pPr>
    </w:p>
    <w:p w:rsidR="000B1719" w:rsidRPr="004361E1" w:rsidRDefault="000B1719" w:rsidP="000B1719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r w:rsidRPr="004361E1">
        <w:rPr>
          <w:bCs/>
          <w:sz w:val="28"/>
          <w:szCs w:val="28"/>
        </w:rPr>
        <w:lastRenderedPageBreak/>
        <w:t>УТВЕРЖДЕНА</w:t>
      </w:r>
    </w:p>
    <w:p w:rsidR="000B1719" w:rsidRDefault="000B1719" w:rsidP="000B171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361E1">
        <w:rPr>
          <w:bCs/>
          <w:sz w:val="28"/>
          <w:szCs w:val="28"/>
        </w:rPr>
        <w:t xml:space="preserve">распоряжением </w:t>
      </w:r>
      <w:r>
        <w:rPr>
          <w:bCs/>
          <w:sz w:val="28"/>
          <w:szCs w:val="28"/>
        </w:rPr>
        <w:t>администрации</w:t>
      </w:r>
    </w:p>
    <w:p w:rsidR="000B1719" w:rsidRPr="004361E1" w:rsidRDefault="000B1719" w:rsidP="000B171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Сосновоборского городского округа</w:t>
      </w:r>
    </w:p>
    <w:p w:rsidR="000B1719" w:rsidRDefault="000B1719" w:rsidP="000B171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01/06/2026 № 129-р</w:t>
      </w:r>
    </w:p>
    <w:p w:rsidR="000B1719" w:rsidRPr="004361E1" w:rsidRDefault="000B1719" w:rsidP="000B1719">
      <w:pPr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4361E1">
        <w:rPr>
          <w:bCs/>
          <w:sz w:val="28"/>
          <w:szCs w:val="28"/>
        </w:rPr>
        <w:t>(приложение</w:t>
      </w:r>
      <w:r>
        <w:rPr>
          <w:bCs/>
          <w:sz w:val="28"/>
          <w:szCs w:val="28"/>
        </w:rPr>
        <w:t>)</w:t>
      </w:r>
    </w:p>
    <w:p w:rsidR="000B1719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  <w:r w:rsidRPr="004361E1">
        <w:rPr>
          <w:b/>
          <w:bCs/>
          <w:sz w:val="28"/>
          <w:lang w:eastAsia="ar-SA"/>
        </w:rPr>
        <w:t>Программ</w:t>
      </w:r>
      <w:r>
        <w:rPr>
          <w:b/>
          <w:bCs/>
          <w:sz w:val="28"/>
          <w:lang w:eastAsia="ar-SA"/>
        </w:rPr>
        <w:t>а</w:t>
      </w: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  <w:r w:rsidRPr="00504E6F">
        <w:rPr>
          <w:b/>
          <w:bCs/>
          <w:sz w:val="28"/>
          <w:lang w:eastAsia="ar-SA"/>
        </w:rPr>
        <w:t xml:space="preserve">оздоровления муниципальных финансов </w:t>
      </w:r>
      <w:r>
        <w:rPr>
          <w:b/>
          <w:bCs/>
          <w:sz w:val="28"/>
          <w:lang w:eastAsia="ar-SA"/>
        </w:rPr>
        <w:t>Сосновоборского городского округа</w:t>
      </w:r>
      <w:r w:rsidRPr="00504E6F">
        <w:rPr>
          <w:b/>
          <w:bCs/>
          <w:sz w:val="28"/>
          <w:lang w:eastAsia="ar-SA"/>
        </w:rPr>
        <w:t xml:space="preserve"> на 2026 год и на плановый период 2027 - 2029 годов</w:t>
      </w: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  <w:r w:rsidRPr="00504E6F">
        <w:rPr>
          <w:b/>
          <w:bCs/>
          <w:sz w:val="28"/>
          <w:lang w:eastAsia="ar-SA"/>
        </w:rPr>
        <w:t>1. Общие положения</w:t>
      </w: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Pr="00504E6F" w:rsidRDefault="000B1719" w:rsidP="000B17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04E6F">
        <w:rPr>
          <w:sz w:val="28"/>
          <w:szCs w:val="28"/>
        </w:rPr>
        <w:t xml:space="preserve">Программа оздоровления муниципальных финансов </w:t>
      </w:r>
      <w:r>
        <w:rPr>
          <w:bCs/>
          <w:sz w:val="28"/>
          <w:szCs w:val="28"/>
        </w:rPr>
        <w:t xml:space="preserve">Сосновоборского городского округа </w:t>
      </w:r>
      <w:r w:rsidRPr="00504E6F">
        <w:rPr>
          <w:sz w:val="28"/>
          <w:szCs w:val="28"/>
        </w:rPr>
        <w:t xml:space="preserve">на 2026 год и на плановый период 2027 - 2029 годов (далее - Программа) </w:t>
      </w:r>
      <w:r>
        <w:rPr>
          <w:sz w:val="28"/>
          <w:szCs w:val="28"/>
        </w:rPr>
        <w:t xml:space="preserve">содержит </w:t>
      </w:r>
      <w:r w:rsidRPr="00504E6F">
        <w:rPr>
          <w:sz w:val="28"/>
          <w:szCs w:val="28"/>
        </w:rPr>
        <w:t xml:space="preserve">основные направления деятельности по оздоровлению муниципальных финансов </w:t>
      </w:r>
      <w:r>
        <w:rPr>
          <w:bCs/>
          <w:sz w:val="28"/>
          <w:szCs w:val="28"/>
        </w:rPr>
        <w:t>Сосновоборского городского округа</w:t>
      </w:r>
      <w:r w:rsidRPr="00504E6F">
        <w:rPr>
          <w:sz w:val="28"/>
          <w:szCs w:val="28"/>
        </w:rPr>
        <w:t xml:space="preserve"> за счет увеличения налоговых и неналоговых доходов, оптимизации расходов и совершенствования долговой политики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Сосновоборского городского округа</w:t>
      </w:r>
      <w:r w:rsidRPr="00504E6F">
        <w:rPr>
          <w:sz w:val="28"/>
          <w:szCs w:val="28"/>
        </w:rPr>
        <w:t>.</w:t>
      </w: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lang w:eastAsia="ar-SA"/>
        </w:rPr>
      </w:pPr>
      <w:r w:rsidRPr="00504E6F">
        <w:rPr>
          <w:b/>
          <w:bCs/>
          <w:sz w:val="28"/>
          <w:lang w:eastAsia="ar-SA"/>
        </w:rPr>
        <w:t xml:space="preserve">2. Текущее состояние </w:t>
      </w:r>
      <w:r>
        <w:rPr>
          <w:b/>
          <w:bCs/>
          <w:sz w:val="28"/>
          <w:lang w:eastAsia="ar-SA"/>
        </w:rPr>
        <w:t>муниципаль</w:t>
      </w:r>
      <w:r w:rsidRPr="00504E6F">
        <w:rPr>
          <w:b/>
          <w:bCs/>
          <w:sz w:val="28"/>
          <w:lang w:eastAsia="ar-SA"/>
        </w:rPr>
        <w:t xml:space="preserve">ных финансов </w:t>
      </w:r>
    </w:p>
    <w:p w:rsidR="000B1719" w:rsidRPr="004D1758" w:rsidRDefault="000B1719" w:rsidP="000B1719">
      <w:pPr>
        <w:tabs>
          <w:tab w:val="left" w:pos="8280"/>
        </w:tabs>
        <w:suppressAutoHyphens/>
        <w:ind w:right="5"/>
        <w:jc w:val="center"/>
        <w:rPr>
          <w:b/>
          <w:bCs/>
          <w:sz w:val="28"/>
          <w:szCs w:val="28"/>
        </w:rPr>
      </w:pPr>
      <w:r w:rsidRPr="004D1758">
        <w:rPr>
          <w:b/>
          <w:bCs/>
          <w:sz w:val="28"/>
          <w:szCs w:val="28"/>
        </w:rPr>
        <w:t>Сосновоборского городского округа</w:t>
      </w:r>
    </w:p>
    <w:p w:rsidR="000B1719" w:rsidRPr="00504E6F" w:rsidRDefault="000B1719" w:rsidP="000B1719">
      <w:pPr>
        <w:tabs>
          <w:tab w:val="left" w:pos="8280"/>
        </w:tabs>
        <w:suppressAutoHyphens/>
        <w:ind w:right="5"/>
        <w:jc w:val="center"/>
        <w:rPr>
          <w:bCs/>
          <w:sz w:val="28"/>
          <w:lang w:eastAsia="ar-SA"/>
        </w:rPr>
      </w:pPr>
    </w:p>
    <w:p w:rsidR="000B1719" w:rsidRDefault="000B1719" w:rsidP="000B17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Формирование бюджета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на 2026 год и на плановый период 2027 и 2028 год осуществлялось в условиях </w:t>
      </w:r>
      <w:r w:rsidRPr="004E516C">
        <w:rPr>
          <w:sz w:val="28"/>
          <w:szCs w:val="28"/>
        </w:rPr>
        <w:t>введения беспрецедентных экономических санкций со стороны недружественных государств</w:t>
      </w:r>
      <w:r>
        <w:rPr>
          <w:sz w:val="28"/>
          <w:szCs w:val="28"/>
        </w:rPr>
        <w:t>,</w:t>
      </w:r>
      <w:r w:rsidRPr="004E516C">
        <w:rPr>
          <w:sz w:val="28"/>
          <w:szCs w:val="28"/>
        </w:rPr>
        <w:t xml:space="preserve"> существенно трансформирова</w:t>
      </w:r>
      <w:r>
        <w:rPr>
          <w:sz w:val="28"/>
          <w:szCs w:val="28"/>
        </w:rPr>
        <w:t>вших</w:t>
      </w:r>
      <w:r w:rsidRPr="004E516C">
        <w:rPr>
          <w:sz w:val="28"/>
          <w:szCs w:val="28"/>
        </w:rPr>
        <w:t xml:space="preserve"> внешние и внутренние условия развития экономики Российской Федерации</w:t>
      </w:r>
      <w:r>
        <w:rPr>
          <w:sz w:val="28"/>
          <w:szCs w:val="28"/>
        </w:rPr>
        <w:t xml:space="preserve"> и оказавших влияние на основные параметры базового сценария развития экономики муниципалитета в среднесрочной перспективе.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 w:rsidRPr="004F0D6D">
        <w:rPr>
          <w:sz w:val="28"/>
          <w:szCs w:val="28"/>
          <w:lang w:eastAsia="ar-SA"/>
        </w:rPr>
        <w:t>Доходная часть бюджета Сосновоборского городского округа на 2026 год утверждена в объёме 96,7% от уровня фактических поступлений 2025 года. Для обеспечения сбалансированности бюджета в 2026 году в местный бюджет из регионального поступит дотация на выравнивание бюджетной обеспеченности, а также будет действовать дополнительный норматив отчислений от НДФЛ в размере 1,4%. Совокупный объём дополнительных поступлений составит 2,9% от объёма бюджета</w:t>
      </w:r>
      <w:r>
        <w:rPr>
          <w:sz w:val="28"/>
          <w:szCs w:val="28"/>
          <w:lang w:eastAsia="ar-SA"/>
        </w:rPr>
        <w:t xml:space="preserve"> </w:t>
      </w:r>
      <w:r w:rsidRPr="004F0D6D">
        <w:rPr>
          <w:sz w:val="28"/>
          <w:szCs w:val="28"/>
          <w:lang w:eastAsia="ar-SA"/>
        </w:rPr>
        <w:t>Сосновоборского городского округа.</w:t>
      </w:r>
    </w:p>
    <w:p w:rsidR="000B1719" w:rsidRPr="00D2110A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>При этом если по безвозмездным поступлениям ожидается сравнительно небольшая положительная динамика поступлений – 104,9%, то по налоговым и неналоговым доходам динамика отрицательна – 91,4%.</w:t>
      </w:r>
    </w:p>
    <w:p w:rsidR="000B1719" w:rsidRPr="00C855D2" w:rsidRDefault="000B1719" w:rsidP="000B1719">
      <w:pPr>
        <w:ind w:right="5" w:firstLine="708"/>
        <w:jc w:val="both"/>
        <w:rPr>
          <w:sz w:val="28"/>
          <w:szCs w:val="28"/>
          <w:lang w:eastAsia="ar-SA"/>
        </w:rPr>
      </w:pPr>
      <w:r w:rsidRPr="00C855D2">
        <w:rPr>
          <w:sz w:val="28"/>
          <w:szCs w:val="28"/>
          <w:lang w:eastAsia="ar-SA"/>
        </w:rPr>
        <w:t xml:space="preserve">В структуре налоговых поступлений основными доходными источниками являются: </w:t>
      </w:r>
    </w:p>
    <w:p w:rsidR="000B1719" w:rsidRDefault="000B1719" w:rsidP="000B1719">
      <w:pPr>
        <w:ind w:right="5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 xml:space="preserve">- налог на доходы физических лиц – </w:t>
      </w:r>
      <w:r>
        <w:rPr>
          <w:sz w:val="28"/>
          <w:szCs w:val="28"/>
          <w:lang w:eastAsia="ar-SA"/>
        </w:rPr>
        <w:t>76,4</w:t>
      </w:r>
      <w:r w:rsidRPr="00D2110A">
        <w:rPr>
          <w:sz w:val="28"/>
          <w:szCs w:val="28"/>
          <w:lang w:eastAsia="ar-SA"/>
        </w:rPr>
        <w:t>%;</w:t>
      </w:r>
    </w:p>
    <w:p w:rsidR="000B1719" w:rsidRPr="00D2110A" w:rsidRDefault="000B1719" w:rsidP="000B1719">
      <w:pPr>
        <w:ind w:right="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- налог, взимаемый с применением упрощенной системы налогообложения </w:t>
      </w:r>
      <w:r w:rsidRPr="00D2110A">
        <w:rPr>
          <w:sz w:val="28"/>
          <w:szCs w:val="28"/>
          <w:lang w:eastAsia="ar-SA"/>
        </w:rPr>
        <w:t xml:space="preserve">– </w:t>
      </w:r>
      <w:r>
        <w:rPr>
          <w:sz w:val="28"/>
          <w:szCs w:val="28"/>
          <w:lang w:eastAsia="ar-SA"/>
        </w:rPr>
        <w:t>16,8</w:t>
      </w:r>
      <w:r w:rsidRPr="00D2110A">
        <w:rPr>
          <w:sz w:val="28"/>
          <w:szCs w:val="28"/>
          <w:lang w:eastAsia="ar-SA"/>
        </w:rPr>
        <w:t xml:space="preserve">%; </w:t>
      </w:r>
    </w:p>
    <w:p w:rsidR="000B1719" w:rsidRDefault="000B1719" w:rsidP="000B1719">
      <w:pPr>
        <w:ind w:right="5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>- налоги на имущество</w:t>
      </w:r>
      <w:r>
        <w:rPr>
          <w:sz w:val="28"/>
          <w:szCs w:val="28"/>
          <w:lang w:eastAsia="ar-SA"/>
        </w:rPr>
        <w:t xml:space="preserve"> (налог на имущество физических лиц, земельный налог с организаций и физических лиц)</w:t>
      </w:r>
      <w:r w:rsidRPr="00D2110A">
        <w:rPr>
          <w:sz w:val="28"/>
          <w:szCs w:val="28"/>
          <w:lang w:eastAsia="ar-SA"/>
        </w:rPr>
        <w:t xml:space="preserve"> – </w:t>
      </w:r>
      <w:r>
        <w:rPr>
          <w:sz w:val="28"/>
          <w:szCs w:val="28"/>
          <w:lang w:eastAsia="ar-SA"/>
        </w:rPr>
        <w:t>4,7</w:t>
      </w:r>
      <w:r w:rsidRPr="00D2110A">
        <w:rPr>
          <w:sz w:val="28"/>
          <w:szCs w:val="28"/>
          <w:lang w:eastAsia="ar-SA"/>
        </w:rPr>
        <w:t>%;</w:t>
      </w:r>
    </w:p>
    <w:p w:rsidR="000B1719" w:rsidRPr="00D2110A" w:rsidRDefault="000B1719" w:rsidP="000B1719">
      <w:pPr>
        <w:ind w:right="5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налог, взимаемый с применением патентной системы налогообложения – 0,5%</w:t>
      </w:r>
    </w:p>
    <w:p w:rsidR="000B1719" w:rsidRPr="00D2110A" w:rsidRDefault="000B1719" w:rsidP="000B1719">
      <w:pPr>
        <w:ind w:right="5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 xml:space="preserve">- государственная пошлина – </w:t>
      </w:r>
      <w:r>
        <w:rPr>
          <w:sz w:val="28"/>
          <w:szCs w:val="28"/>
          <w:lang w:eastAsia="ar-SA"/>
        </w:rPr>
        <w:t>1,1</w:t>
      </w:r>
      <w:r w:rsidRPr="00D2110A">
        <w:rPr>
          <w:sz w:val="28"/>
          <w:szCs w:val="28"/>
          <w:lang w:eastAsia="ar-SA"/>
        </w:rPr>
        <w:t>%;</w:t>
      </w:r>
    </w:p>
    <w:p w:rsidR="000B1719" w:rsidRPr="00D2110A" w:rsidRDefault="000B1719" w:rsidP="000B1719">
      <w:pPr>
        <w:ind w:right="5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 xml:space="preserve">- туристический налог – </w:t>
      </w:r>
      <w:r>
        <w:rPr>
          <w:sz w:val="28"/>
          <w:szCs w:val="28"/>
          <w:lang w:eastAsia="ar-SA"/>
        </w:rPr>
        <w:t>0,3</w:t>
      </w:r>
      <w:r w:rsidRPr="00D2110A">
        <w:rPr>
          <w:sz w:val="28"/>
          <w:szCs w:val="28"/>
          <w:lang w:eastAsia="ar-SA"/>
        </w:rPr>
        <w:t>%;</w:t>
      </w:r>
    </w:p>
    <w:p w:rsidR="000B1719" w:rsidRPr="00D2110A" w:rsidRDefault="000B1719" w:rsidP="000B1719">
      <w:pPr>
        <w:ind w:right="5"/>
        <w:jc w:val="both"/>
        <w:rPr>
          <w:sz w:val="28"/>
          <w:szCs w:val="28"/>
          <w:lang w:eastAsia="ar-SA"/>
        </w:rPr>
      </w:pPr>
      <w:r w:rsidRPr="00D2110A">
        <w:rPr>
          <w:sz w:val="28"/>
          <w:szCs w:val="28"/>
          <w:lang w:eastAsia="ar-SA"/>
        </w:rPr>
        <w:t xml:space="preserve">- акцизы по подакцизным товарам (продукции), производимым на территории Российской Федерации – </w:t>
      </w:r>
      <w:r>
        <w:rPr>
          <w:sz w:val="28"/>
          <w:szCs w:val="28"/>
          <w:lang w:eastAsia="ar-SA"/>
        </w:rPr>
        <w:t>0,2</w:t>
      </w:r>
      <w:r w:rsidRPr="00D2110A">
        <w:rPr>
          <w:sz w:val="28"/>
          <w:szCs w:val="28"/>
          <w:lang w:eastAsia="ar-SA"/>
        </w:rPr>
        <w:t>%.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 w:rsidRPr="00175E8D">
        <w:rPr>
          <w:sz w:val="28"/>
          <w:szCs w:val="28"/>
          <w:lang w:eastAsia="ar-SA"/>
        </w:rPr>
        <w:t xml:space="preserve">На динамику прогноза налоговых и неналоговых доходов </w:t>
      </w:r>
      <w:r>
        <w:rPr>
          <w:sz w:val="28"/>
          <w:szCs w:val="28"/>
          <w:lang w:eastAsia="ar-SA"/>
        </w:rPr>
        <w:t>Сосновоборского городского округа</w:t>
      </w:r>
      <w:r w:rsidRPr="00175E8D">
        <w:rPr>
          <w:sz w:val="28"/>
          <w:szCs w:val="28"/>
          <w:lang w:eastAsia="ar-SA"/>
        </w:rPr>
        <w:t xml:space="preserve"> на 2026 год основное влияние оказывает налог на доходы физических лиц</w:t>
      </w:r>
      <w:r>
        <w:rPr>
          <w:sz w:val="28"/>
          <w:szCs w:val="28"/>
          <w:lang w:eastAsia="ar-SA"/>
        </w:rPr>
        <w:t xml:space="preserve"> (НДФЛ)</w:t>
      </w:r>
      <w:r w:rsidRPr="00175E8D">
        <w:rPr>
          <w:sz w:val="28"/>
          <w:szCs w:val="28"/>
          <w:lang w:eastAsia="ar-SA"/>
        </w:rPr>
        <w:t xml:space="preserve"> как главный источник поступлений в местный бюджет.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 w:rsidRPr="00175E8D">
        <w:rPr>
          <w:sz w:val="28"/>
          <w:szCs w:val="28"/>
          <w:lang w:eastAsia="ar-SA"/>
        </w:rPr>
        <w:t xml:space="preserve">Исполнение бюджета по данному доходному источнику в текущем финансовом году сопряжено с серьезными рисками. План поступлений установлен на уровне </w:t>
      </w:r>
      <w:r>
        <w:rPr>
          <w:sz w:val="28"/>
          <w:szCs w:val="28"/>
          <w:lang w:eastAsia="ar-SA"/>
        </w:rPr>
        <w:t>102,5</w:t>
      </w:r>
      <w:r w:rsidRPr="00175E8D">
        <w:rPr>
          <w:sz w:val="28"/>
          <w:szCs w:val="28"/>
          <w:lang w:eastAsia="ar-SA"/>
        </w:rPr>
        <w:t>%</w:t>
      </w:r>
      <w:r>
        <w:rPr>
          <w:sz w:val="28"/>
          <w:szCs w:val="28"/>
          <w:lang w:eastAsia="ar-SA"/>
        </w:rPr>
        <w:t xml:space="preserve"> (105,5% без учета дополнительного норматива) </w:t>
      </w:r>
      <w:r w:rsidRPr="00175E8D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 xml:space="preserve">фактического </w:t>
      </w:r>
      <w:r w:rsidRPr="00175E8D">
        <w:rPr>
          <w:sz w:val="28"/>
          <w:szCs w:val="28"/>
          <w:lang w:eastAsia="ar-SA"/>
        </w:rPr>
        <w:t>показателя 2025 года</w:t>
      </w:r>
      <w:r>
        <w:rPr>
          <w:sz w:val="28"/>
          <w:szCs w:val="28"/>
          <w:lang w:eastAsia="ar-SA"/>
        </w:rPr>
        <w:t xml:space="preserve">, </w:t>
      </w:r>
      <w:r w:rsidRPr="00175E8D">
        <w:rPr>
          <w:sz w:val="28"/>
          <w:szCs w:val="28"/>
          <w:lang w:eastAsia="ar-SA"/>
        </w:rPr>
        <w:t>чт</w:t>
      </w:r>
      <w:r>
        <w:rPr>
          <w:sz w:val="28"/>
          <w:szCs w:val="28"/>
          <w:lang w:eastAsia="ar-SA"/>
        </w:rPr>
        <w:t>о делает его крайне напряжённым, том числе за счет снижения установленного дополнительного норматива отчислений от НДФЛ, заменяющего дотацию на выравнивание бюджетной обеспеченности Сосновоборского городского округа с 2,7% в 2025 году до 1,4% в 2026 году.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Также о</w:t>
      </w:r>
      <w:r w:rsidRPr="00F94FB7">
        <w:rPr>
          <w:sz w:val="28"/>
          <w:szCs w:val="28"/>
          <w:lang w:eastAsia="ar-SA"/>
        </w:rPr>
        <w:t>дним из основных источников налоговых доходов является</w:t>
      </w:r>
      <w:r>
        <w:rPr>
          <w:sz w:val="28"/>
          <w:szCs w:val="28"/>
          <w:lang w:eastAsia="ar-SA"/>
        </w:rPr>
        <w:t xml:space="preserve"> налог, взимаемый с применением упрощенной системы налогообложения (УСН). </w:t>
      </w:r>
    </w:p>
    <w:p w:rsidR="000B1719" w:rsidRPr="00B8550B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 текущий финансовый год план поступлений установлен на уровне 109,5 % от</w:t>
      </w:r>
      <w:r w:rsidRPr="00F94FB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фактического показателя за 2025 год. </w:t>
      </w:r>
      <w:r w:rsidRPr="00B8550B">
        <w:rPr>
          <w:sz w:val="28"/>
          <w:szCs w:val="28"/>
          <w:lang w:eastAsia="ar-SA"/>
        </w:rPr>
        <w:t>При этом следует учитывать особенности распределения: согласно Бюджетному кодексу РФ, данный налог зачисляется в региональный бюджет. Однако Областным законом Ленинградской области от 14.10.2029 № 75-ОЗ «О межбюджетных отношениях в Ленинградской области» поступления по нему перераспределены в местные бюджеты по нормативу 100 %.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 w:rsidRPr="008F452E">
        <w:rPr>
          <w:sz w:val="28"/>
          <w:szCs w:val="28"/>
          <w:lang w:eastAsia="ar-SA"/>
        </w:rPr>
        <w:t>В 2026 году существуют риски снижения доходов в бюджет по УСН. Они связаны с изменением в налоговом законодательстве, экономической ситуацией и поведением бизнеса. Основные факторы, которые могут привести к этому:</w:t>
      </w:r>
    </w:p>
    <w:p w:rsidR="000B1719" w:rsidRPr="0031452C" w:rsidRDefault="000B1719" w:rsidP="000B1719">
      <w:pPr>
        <w:ind w:right="5" w:firstLine="709"/>
        <w:jc w:val="both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- с</w:t>
      </w:r>
      <w:r w:rsidRPr="008F452E">
        <w:rPr>
          <w:b/>
          <w:bCs/>
          <w:sz w:val="28"/>
          <w:szCs w:val="28"/>
          <w:lang w:eastAsia="ar-SA"/>
        </w:rPr>
        <w:t>нижение порога для уплаты НДС.</w:t>
      </w:r>
      <w:r w:rsidRPr="008F452E">
        <w:rPr>
          <w:sz w:val="28"/>
          <w:szCs w:val="28"/>
          <w:lang w:eastAsia="ar-SA"/>
        </w:rPr>
        <w:t> </w:t>
      </w:r>
      <w:r w:rsidRPr="0031452C">
        <w:rPr>
          <w:bCs/>
          <w:sz w:val="28"/>
          <w:szCs w:val="28"/>
          <w:lang w:eastAsia="ar-SA"/>
        </w:rPr>
        <w:t>Порог годового дохода, при превышении которого бизнес на УСН обязан платить НДС, снижен с 60 млн до 20 млн рублей (в 2027 — 15 млн, в 2028 — 10 млн). Это может привести к выбору бизнесом пониженных ставок без права на вычет, что уменьшит поступления в бюджет; </w:t>
      </w:r>
    </w:p>
    <w:p w:rsidR="000B1719" w:rsidRPr="005B39BE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r w:rsidRPr="008F452E">
        <w:rPr>
          <w:b/>
          <w:sz w:val="28"/>
          <w:szCs w:val="28"/>
          <w:lang w:eastAsia="ar-SA"/>
        </w:rPr>
        <w:t>ограничение региональных льгот.</w:t>
      </w:r>
      <w:r w:rsidRPr="008F452E">
        <w:rPr>
          <w:b/>
          <w:bCs/>
          <w:sz w:val="28"/>
          <w:szCs w:val="28"/>
          <w:lang w:eastAsia="ar-SA"/>
        </w:rPr>
        <w:t> </w:t>
      </w:r>
      <w:r w:rsidRPr="005B39BE">
        <w:rPr>
          <w:sz w:val="28"/>
          <w:szCs w:val="28"/>
          <w:lang w:eastAsia="ar-SA"/>
        </w:rPr>
        <w:t>Регионы смогут применять пониженные ставки УСН только для приоритетных видов деятельности, утверждённых правительством. Это увеличит нагрузку на остальной бизнес и может спровоциров</w:t>
      </w:r>
      <w:r>
        <w:rPr>
          <w:sz w:val="28"/>
          <w:szCs w:val="28"/>
          <w:lang w:eastAsia="ar-SA"/>
        </w:rPr>
        <w:t>ать уход части компаний в тень;</w:t>
      </w:r>
    </w:p>
    <w:p w:rsidR="000B1719" w:rsidRDefault="000B1719" w:rsidP="000B1719">
      <w:pPr>
        <w:ind w:right="5" w:firstLine="709"/>
        <w:jc w:val="both"/>
        <w:rPr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- и</w:t>
      </w:r>
      <w:r w:rsidRPr="008F452E">
        <w:rPr>
          <w:b/>
          <w:bCs/>
          <w:sz w:val="28"/>
          <w:szCs w:val="28"/>
          <w:lang w:eastAsia="ar-SA"/>
        </w:rPr>
        <w:t>зменения в страховых взносах.</w:t>
      </w:r>
      <w:r w:rsidRPr="008F452E">
        <w:rPr>
          <w:sz w:val="28"/>
          <w:szCs w:val="28"/>
          <w:lang w:eastAsia="ar-SA"/>
        </w:rPr>
        <w:t> </w:t>
      </w:r>
      <w:r w:rsidRPr="0031452C">
        <w:rPr>
          <w:sz w:val="28"/>
          <w:szCs w:val="28"/>
          <w:lang w:eastAsia="ar-SA"/>
        </w:rPr>
        <w:t xml:space="preserve">Льготный тариф 15% сохранён только для приоритетных отраслей, а для руководителей введена минимальная база по </w:t>
      </w:r>
      <w:r w:rsidRPr="0031452C">
        <w:rPr>
          <w:sz w:val="28"/>
          <w:szCs w:val="28"/>
          <w:lang w:eastAsia="ar-SA"/>
        </w:rPr>
        <w:lastRenderedPageBreak/>
        <w:t>взносам (даже при отсутствии выплат). Это повысит издержки компаний и может снизить их финансовую устойчивость</w:t>
      </w:r>
      <w:r>
        <w:rPr>
          <w:sz w:val="28"/>
          <w:szCs w:val="28"/>
          <w:lang w:eastAsia="ar-SA"/>
        </w:rPr>
        <w:t>;</w:t>
      </w:r>
    </w:p>
    <w:p w:rsidR="000B1719" w:rsidRPr="0031452C" w:rsidRDefault="000B1719" w:rsidP="000B1719">
      <w:pPr>
        <w:ind w:right="5" w:firstLine="709"/>
        <w:jc w:val="both"/>
        <w:rPr>
          <w:bCs/>
          <w:sz w:val="28"/>
          <w:szCs w:val="28"/>
          <w:lang w:eastAsia="ar-SA"/>
        </w:rPr>
      </w:pPr>
      <w:r w:rsidRPr="0031452C">
        <w:rPr>
          <w:b/>
          <w:bCs/>
          <w:sz w:val="28"/>
          <w:szCs w:val="28"/>
          <w:lang w:eastAsia="ar-SA"/>
        </w:rPr>
        <w:t xml:space="preserve">- </w:t>
      </w:r>
      <w:r>
        <w:rPr>
          <w:b/>
          <w:bCs/>
          <w:sz w:val="28"/>
          <w:szCs w:val="28"/>
          <w:lang w:eastAsia="ar-SA"/>
        </w:rPr>
        <w:t>п</w:t>
      </w:r>
      <w:r w:rsidRPr="0031452C">
        <w:rPr>
          <w:b/>
          <w:bCs/>
          <w:sz w:val="28"/>
          <w:szCs w:val="28"/>
          <w:lang w:eastAsia="ar-SA"/>
        </w:rPr>
        <w:t>ереход на другие режимы налогообложения или реструктуризация</w:t>
      </w:r>
      <w:r w:rsidRPr="0031452C">
        <w:rPr>
          <w:b/>
          <w:sz w:val="28"/>
          <w:szCs w:val="28"/>
          <w:lang w:eastAsia="ar-SA"/>
        </w:rPr>
        <w:t xml:space="preserve"> бизнеса.</w:t>
      </w:r>
      <w:r w:rsidRPr="0031452C">
        <w:rPr>
          <w:b/>
          <w:bCs/>
          <w:sz w:val="28"/>
          <w:szCs w:val="28"/>
          <w:lang w:eastAsia="ar-SA"/>
        </w:rPr>
        <w:t> </w:t>
      </w:r>
      <w:r w:rsidRPr="0031452C">
        <w:rPr>
          <w:bCs/>
          <w:sz w:val="28"/>
          <w:szCs w:val="28"/>
          <w:lang w:eastAsia="ar-SA"/>
        </w:rPr>
        <w:t>Часть бизнеса может перейти на АУСН или провести реструктуризацию (например, дробление), чтобы минимизировать налоговую нагрузку, что также снизит поступления по УСН.</w:t>
      </w:r>
    </w:p>
    <w:p w:rsidR="000B1719" w:rsidRDefault="000B1719" w:rsidP="000B1719">
      <w:pPr>
        <w:ind w:right="5" w:firstLine="567"/>
        <w:jc w:val="both"/>
        <w:rPr>
          <w:sz w:val="28"/>
          <w:szCs w:val="28"/>
          <w:lang w:eastAsia="ar-SA"/>
        </w:rPr>
      </w:pPr>
      <w:r w:rsidRPr="00935618">
        <w:rPr>
          <w:sz w:val="28"/>
          <w:szCs w:val="28"/>
          <w:lang w:eastAsia="ar-SA"/>
        </w:rPr>
        <w:t xml:space="preserve">Прогноз неналоговых доходов бюджета Сосновоборского городского округа на текущий период </w:t>
      </w:r>
      <w:r>
        <w:rPr>
          <w:sz w:val="28"/>
          <w:szCs w:val="28"/>
          <w:lang w:eastAsia="ar-SA"/>
        </w:rPr>
        <w:t>снижен</w:t>
      </w:r>
      <w:r w:rsidRPr="00935618">
        <w:rPr>
          <w:sz w:val="28"/>
          <w:szCs w:val="28"/>
          <w:lang w:eastAsia="ar-SA"/>
        </w:rPr>
        <w:t xml:space="preserve"> относительно фактических показателей 2025 года (38,8%). </w:t>
      </w:r>
      <w:r>
        <w:rPr>
          <w:sz w:val="28"/>
          <w:szCs w:val="28"/>
          <w:lang w:eastAsia="ar-SA"/>
        </w:rPr>
        <w:t>Существенная п</w:t>
      </w:r>
      <w:r w:rsidRPr="00935618">
        <w:rPr>
          <w:sz w:val="28"/>
          <w:szCs w:val="28"/>
          <w:lang w:eastAsia="ar-SA"/>
        </w:rPr>
        <w:t xml:space="preserve">ричина расхождения заключается в том, что при планировании не были учтены </w:t>
      </w:r>
      <w:r>
        <w:rPr>
          <w:sz w:val="28"/>
          <w:szCs w:val="28"/>
          <w:lang w:eastAsia="ar-SA"/>
        </w:rPr>
        <w:t>возможные крупные</w:t>
      </w:r>
      <w:r w:rsidRPr="00935618">
        <w:rPr>
          <w:sz w:val="28"/>
          <w:szCs w:val="28"/>
          <w:lang w:eastAsia="ar-SA"/>
        </w:rPr>
        <w:t xml:space="preserve"> единовременные поступления от восстановительной стоимости зелёных насаждений. </w:t>
      </w:r>
      <w:r w:rsidRPr="0078567F">
        <w:rPr>
          <w:sz w:val="28"/>
          <w:szCs w:val="28"/>
          <w:lang w:eastAsia="ar-SA"/>
        </w:rPr>
        <w:t>Включение указанных доходов в состав бюджета осуществляется при их фактическом поступлении в ходе уточнения бюджетных показателей</w:t>
      </w:r>
      <w:r>
        <w:rPr>
          <w:sz w:val="28"/>
          <w:szCs w:val="28"/>
          <w:lang w:eastAsia="ar-SA"/>
        </w:rPr>
        <w:t>.</w:t>
      </w:r>
    </w:p>
    <w:p w:rsidR="000B1719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Расходная</w:t>
      </w:r>
      <w:r w:rsidRPr="00237DD3">
        <w:rPr>
          <w:sz w:val="28"/>
          <w:szCs w:val="28"/>
          <w:lang w:eastAsia="ar-SA"/>
        </w:rPr>
        <w:t xml:space="preserve"> часть </w:t>
      </w:r>
      <w:r>
        <w:rPr>
          <w:sz w:val="28"/>
          <w:szCs w:val="28"/>
          <w:lang w:eastAsia="ar-SA"/>
        </w:rPr>
        <w:t xml:space="preserve">бюджета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237DD3">
        <w:rPr>
          <w:sz w:val="28"/>
          <w:szCs w:val="28"/>
          <w:lang w:eastAsia="ar-SA"/>
        </w:rPr>
        <w:t xml:space="preserve">на 2026 год утверждена в объеме, составляющем </w:t>
      </w:r>
      <w:r>
        <w:rPr>
          <w:sz w:val="28"/>
          <w:szCs w:val="28"/>
          <w:lang w:eastAsia="ar-SA"/>
        </w:rPr>
        <w:t>100,4</w:t>
      </w:r>
      <w:r w:rsidRPr="00237DD3">
        <w:rPr>
          <w:sz w:val="28"/>
          <w:szCs w:val="28"/>
          <w:lang w:eastAsia="ar-SA"/>
        </w:rPr>
        <w:t>% от фактическ</w:t>
      </w:r>
      <w:r>
        <w:rPr>
          <w:sz w:val="28"/>
          <w:szCs w:val="28"/>
          <w:lang w:eastAsia="ar-SA"/>
        </w:rPr>
        <w:t>ого</w:t>
      </w:r>
      <w:r w:rsidRPr="00237DD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исполнения за 2025 год</w:t>
      </w:r>
      <w:r w:rsidRPr="00237DD3">
        <w:rPr>
          <w:sz w:val="28"/>
          <w:szCs w:val="28"/>
          <w:lang w:eastAsia="ar-SA"/>
        </w:rPr>
        <w:t>.</w:t>
      </w:r>
    </w:p>
    <w:p w:rsidR="000B1719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Б</w:t>
      </w:r>
      <w:r w:rsidRPr="004B61C9">
        <w:rPr>
          <w:sz w:val="28"/>
          <w:szCs w:val="28"/>
          <w:lang w:eastAsia="ar-SA"/>
        </w:rPr>
        <w:t xml:space="preserve">юджет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4B61C9">
        <w:rPr>
          <w:sz w:val="28"/>
          <w:szCs w:val="28"/>
          <w:lang w:eastAsia="ar-SA"/>
        </w:rPr>
        <w:t xml:space="preserve">является социально ориентированным, в </w:t>
      </w:r>
      <w:r>
        <w:rPr>
          <w:sz w:val="28"/>
          <w:szCs w:val="28"/>
          <w:lang w:eastAsia="ar-SA"/>
        </w:rPr>
        <w:t>муниципалитете</w:t>
      </w:r>
      <w:r w:rsidRPr="004B61C9">
        <w:rPr>
          <w:sz w:val="28"/>
          <w:szCs w:val="28"/>
          <w:lang w:eastAsia="ar-SA"/>
        </w:rPr>
        <w:t xml:space="preserve"> сохраняется устойчивая тенденция роста расходов на социально-культурную сферу, их удельный вес в структуре расходов не претерпел существенных изменений и сохранился на уровне ряда предыдущих лет – порядка 60,0%.</w:t>
      </w:r>
    </w:p>
    <w:p w:rsidR="000B1719" w:rsidRPr="00755166" w:rsidRDefault="000B1719" w:rsidP="000B1719">
      <w:pPr>
        <w:suppressAutoHyphens/>
        <w:ind w:right="5" w:firstLine="709"/>
        <w:jc w:val="both"/>
        <w:rPr>
          <w:sz w:val="28"/>
          <w:szCs w:val="28"/>
          <w:highlight w:val="yellow"/>
          <w:lang w:eastAsia="ar-SA"/>
        </w:rPr>
      </w:pPr>
      <w:r w:rsidRPr="00755166">
        <w:rPr>
          <w:sz w:val="28"/>
          <w:szCs w:val="28"/>
          <w:lang w:eastAsia="ar-SA"/>
        </w:rPr>
        <w:t xml:space="preserve">При этом расходы бюджета </w:t>
      </w:r>
      <w:r w:rsidRPr="00755166">
        <w:rPr>
          <w:bCs/>
          <w:sz w:val="28"/>
          <w:szCs w:val="28"/>
        </w:rPr>
        <w:t>Сосновоборского городского округа</w:t>
      </w:r>
      <w:r w:rsidRPr="00755166">
        <w:rPr>
          <w:sz w:val="28"/>
          <w:szCs w:val="28"/>
          <w:lang w:eastAsia="ar-SA"/>
        </w:rPr>
        <w:t xml:space="preserve"> утверждены исходя из необходимости финансового обеспечения в приоритетном порядке расходов на реализацию Указа Президента Российской Федерации от 07.05.2012 №597 «О мероприятиях по реализации государственной социальной политики</w:t>
      </w:r>
      <w:r>
        <w:rPr>
          <w:sz w:val="28"/>
          <w:szCs w:val="28"/>
          <w:lang w:eastAsia="ar-SA"/>
        </w:rPr>
        <w:t>».</w:t>
      </w:r>
    </w:p>
    <w:p w:rsidR="000B1719" w:rsidRPr="002E3D7B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2E3D7B">
        <w:rPr>
          <w:sz w:val="28"/>
          <w:szCs w:val="28"/>
          <w:lang w:eastAsia="ar-SA"/>
        </w:rPr>
        <w:t xml:space="preserve">Несмотря на усложнение внешнеполитических обстоятельств и при высокой социальной ориентированности, бюджет </w:t>
      </w:r>
      <w:r>
        <w:rPr>
          <w:sz w:val="28"/>
          <w:szCs w:val="28"/>
          <w:lang w:eastAsia="ar-SA"/>
        </w:rPr>
        <w:t>муниципалитета</w:t>
      </w:r>
      <w:r w:rsidRPr="002E3D7B">
        <w:rPr>
          <w:sz w:val="28"/>
          <w:szCs w:val="28"/>
          <w:lang w:eastAsia="ar-SA"/>
        </w:rPr>
        <w:t xml:space="preserve"> сохраняет и инвестиционную направленность, доля бюджета развития остается высокой. </w:t>
      </w:r>
      <w:r w:rsidRPr="006F35BD">
        <w:rPr>
          <w:sz w:val="28"/>
          <w:szCs w:val="28"/>
          <w:lang w:eastAsia="ar-SA"/>
        </w:rPr>
        <w:t xml:space="preserve">Доля расходов инвестиционного характера </w:t>
      </w:r>
      <w:r w:rsidRPr="002E3D7B">
        <w:rPr>
          <w:sz w:val="28"/>
          <w:szCs w:val="28"/>
          <w:lang w:eastAsia="ar-SA"/>
        </w:rPr>
        <w:t>состави</w:t>
      </w:r>
      <w:r>
        <w:rPr>
          <w:sz w:val="28"/>
          <w:szCs w:val="28"/>
          <w:lang w:eastAsia="ar-SA"/>
        </w:rPr>
        <w:t>т</w:t>
      </w:r>
      <w:r w:rsidRPr="002E3D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5,5% в общем объеме расходов, </w:t>
      </w:r>
      <w:r w:rsidRPr="002E3D7B">
        <w:rPr>
          <w:sz w:val="28"/>
          <w:szCs w:val="28"/>
          <w:lang w:eastAsia="ar-SA"/>
        </w:rPr>
        <w:t xml:space="preserve">дорожный фонд </w:t>
      </w:r>
      <w:r>
        <w:rPr>
          <w:sz w:val="28"/>
          <w:szCs w:val="28"/>
          <w:lang w:eastAsia="ar-SA"/>
        </w:rPr>
        <w:t>Сосновоборского городского округа</w:t>
      </w:r>
      <w:r w:rsidRPr="002E3D7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10,4%.</w:t>
      </w:r>
    </w:p>
    <w:p w:rsidR="000B1719" w:rsidRPr="0026527F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AF29EC">
        <w:rPr>
          <w:sz w:val="28"/>
          <w:szCs w:val="28"/>
          <w:lang w:eastAsia="ar-SA"/>
        </w:rPr>
        <w:t xml:space="preserve">Дефицит </w:t>
      </w:r>
      <w:r>
        <w:rPr>
          <w:sz w:val="28"/>
          <w:szCs w:val="28"/>
          <w:lang w:eastAsia="ar-SA"/>
        </w:rPr>
        <w:t>местного</w:t>
      </w:r>
      <w:r w:rsidRPr="00AF29EC">
        <w:rPr>
          <w:sz w:val="28"/>
          <w:szCs w:val="28"/>
          <w:lang w:eastAsia="ar-SA"/>
        </w:rPr>
        <w:t xml:space="preserve"> бюджета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AF29EC">
        <w:rPr>
          <w:sz w:val="28"/>
          <w:szCs w:val="28"/>
          <w:lang w:eastAsia="ar-SA"/>
        </w:rPr>
        <w:t xml:space="preserve">на 2026 год запланирован в размере </w:t>
      </w:r>
      <w:r>
        <w:rPr>
          <w:sz w:val="28"/>
          <w:szCs w:val="28"/>
          <w:lang w:eastAsia="ar-SA"/>
        </w:rPr>
        <w:t>9,1</w:t>
      </w:r>
      <w:r w:rsidRPr="00AF29EC">
        <w:rPr>
          <w:sz w:val="28"/>
          <w:szCs w:val="28"/>
          <w:lang w:eastAsia="ar-SA"/>
        </w:rPr>
        <w:t xml:space="preserve">% от объема налоговых и неналоговых доходов. В </w:t>
      </w:r>
      <w:r w:rsidRPr="005726CE">
        <w:rPr>
          <w:sz w:val="28"/>
          <w:szCs w:val="28"/>
          <w:lang w:eastAsia="ar-SA"/>
        </w:rPr>
        <w:t xml:space="preserve">качестве </w:t>
      </w:r>
      <w:r w:rsidRPr="0026527F">
        <w:rPr>
          <w:sz w:val="28"/>
          <w:szCs w:val="28"/>
          <w:lang w:eastAsia="ar-SA"/>
        </w:rPr>
        <w:t>источников финансирования дефицита задействова</w:t>
      </w:r>
      <w:r>
        <w:rPr>
          <w:sz w:val="28"/>
          <w:szCs w:val="28"/>
          <w:lang w:eastAsia="ar-SA"/>
        </w:rPr>
        <w:t>ны</w:t>
      </w:r>
      <w:r w:rsidRPr="0026527F">
        <w:rPr>
          <w:sz w:val="28"/>
          <w:szCs w:val="28"/>
          <w:lang w:eastAsia="ar-SA"/>
        </w:rPr>
        <w:t xml:space="preserve"> остатки средств бюджета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26527F">
        <w:rPr>
          <w:sz w:val="28"/>
          <w:szCs w:val="28"/>
          <w:lang w:eastAsia="ar-SA"/>
        </w:rPr>
        <w:t xml:space="preserve">на начало года, а также средства </w:t>
      </w:r>
      <w:r>
        <w:rPr>
          <w:sz w:val="28"/>
          <w:szCs w:val="28"/>
          <w:lang w:eastAsia="ar-SA"/>
        </w:rPr>
        <w:t xml:space="preserve">бюджетного кредита и </w:t>
      </w:r>
      <w:r w:rsidRPr="0026527F">
        <w:rPr>
          <w:sz w:val="28"/>
          <w:szCs w:val="28"/>
          <w:lang w:eastAsia="ar-SA"/>
        </w:rPr>
        <w:t>кредита</w:t>
      </w:r>
      <w:r>
        <w:rPr>
          <w:sz w:val="28"/>
          <w:szCs w:val="28"/>
          <w:lang w:eastAsia="ar-SA"/>
        </w:rPr>
        <w:t xml:space="preserve"> кредитных организаций</w:t>
      </w:r>
      <w:r w:rsidRPr="0026527F">
        <w:rPr>
          <w:sz w:val="28"/>
          <w:szCs w:val="28"/>
          <w:lang w:eastAsia="ar-SA"/>
        </w:rPr>
        <w:t>.</w:t>
      </w:r>
    </w:p>
    <w:p w:rsidR="000B1719" w:rsidRPr="0026527F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26527F">
        <w:rPr>
          <w:sz w:val="28"/>
          <w:szCs w:val="28"/>
          <w:lang w:eastAsia="ar-SA"/>
        </w:rPr>
        <w:t xml:space="preserve">Объем </w:t>
      </w:r>
      <w:r>
        <w:rPr>
          <w:sz w:val="28"/>
          <w:szCs w:val="28"/>
          <w:lang w:eastAsia="ar-SA"/>
        </w:rPr>
        <w:t>муниципальн</w:t>
      </w:r>
      <w:r w:rsidRPr="0026527F">
        <w:rPr>
          <w:sz w:val="28"/>
          <w:szCs w:val="28"/>
          <w:lang w:eastAsia="ar-SA"/>
        </w:rPr>
        <w:t xml:space="preserve">ого долга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26527F">
        <w:rPr>
          <w:sz w:val="28"/>
          <w:szCs w:val="28"/>
          <w:lang w:eastAsia="ar-SA"/>
        </w:rPr>
        <w:t xml:space="preserve">на 2026 год запланирован в объеме </w:t>
      </w:r>
      <w:r>
        <w:rPr>
          <w:sz w:val="28"/>
          <w:szCs w:val="28"/>
          <w:lang w:eastAsia="ar-SA"/>
        </w:rPr>
        <w:t>10,2</w:t>
      </w:r>
      <w:r w:rsidRPr="0026527F">
        <w:rPr>
          <w:sz w:val="28"/>
          <w:szCs w:val="28"/>
          <w:lang w:eastAsia="ar-SA"/>
        </w:rPr>
        <w:t xml:space="preserve">% от налоговых и неналоговых доходов бюджета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со снижением до 0,0</w:t>
      </w:r>
      <w:r w:rsidRPr="0026527F">
        <w:rPr>
          <w:sz w:val="28"/>
          <w:szCs w:val="28"/>
          <w:lang w:eastAsia="ar-SA"/>
        </w:rPr>
        <w:t xml:space="preserve">% </w:t>
      </w:r>
      <w:r>
        <w:rPr>
          <w:sz w:val="28"/>
          <w:szCs w:val="28"/>
          <w:lang w:eastAsia="ar-SA"/>
        </w:rPr>
        <w:t>к</w:t>
      </w:r>
      <w:r w:rsidRPr="0026527F">
        <w:rPr>
          <w:sz w:val="28"/>
          <w:szCs w:val="28"/>
          <w:lang w:eastAsia="ar-SA"/>
        </w:rPr>
        <w:t xml:space="preserve"> 202</w:t>
      </w:r>
      <w:r>
        <w:rPr>
          <w:sz w:val="28"/>
          <w:szCs w:val="28"/>
          <w:lang w:eastAsia="ar-SA"/>
        </w:rPr>
        <w:t>9</w:t>
      </w:r>
      <w:r w:rsidRPr="0026527F">
        <w:rPr>
          <w:sz w:val="28"/>
          <w:szCs w:val="28"/>
          <w:lang w:eastAsia="ar-SA"/>
        </w:rPr>
        <w:t xml:space="preserve"> году. </w:t>
      </w:r>
    </w:p>
    <w:p w:rsidR="000B1719" w:rsidRPr="005726CE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26527F">
        <w:rPr>
          <w:sz w:val="28"/>
          <w:szCs w:val="28"/>
          <w:lang w:eastAsia="ar-SA"/>
        </w:rPr>
        <w:t xml:space="preserve">Достижение </w:t>
      </w:r>
      <w:r>
        <w:rPr>
          <w:sz w:val="28"/>
          <w:szCs w:val="28"/>
          <w:lang w:eastAsia="ar-SA"/>
        </w:rPr>
        <w:t>приоритетной</w:t>
      </w:r>
      <w:r w:rsidRPr="0026527F">
        <w:rPr>
          <w:sz w:val="28"/>
          <w:szCs w:val="28"/>
          <w:lang w:eastAsia="ar-SA"/>
        </w:rPr>
        <w:t xml:space="preserve"> задачи бюджетной политики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26527F">
        <w:rPr>
          <w:sz w:val="28"/>
          <w:szCs w:val="28"/>
          <w:lang w:eastAsia="ar-SA"/>
        </w:rPr>
        <w:t>(сохранение безопасного</w:t>
      </w:r>
      <w:r>
        <w:rPr>
          <w:sz w:val="28"/>
          <w:szCs w:val="28"/>
          <w:lang w:eastAsia="ar-SA"/>
        </w:rPr>
        <w:t xml:space="preserve"> уровня долговой нагрузки</w:t>
      </w:r>
      <w:r w:rsidRPr="005726CE">
        <w:rPr>
          <w:sz w:val="28"/>
          <w:szCs w:val="28"/>
          <w:lang w:eastAsia="ar-SA"/>
        </w:rPr>
        <w:t>) сопряжено с определенными рисками:</w:t>
      </w:r>
    </w:p>
    <w:p w:rsidR="000B1719" w:rsidRPr="005726CE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5726CE">
        <w:rPr>
          <w:sz w:val="28"/>
          <w:szCs w:val="28"/>
          <w:lang w:eastAsia="ar-SA"/>
        </w:rPr>
        <w:t>внесение в бюджетное и налоговое законодательство Российской Федерации изменений, влияющих на доходную базу местных бюджетов;</w:t>
      </w:r>
    </w:p>
    <w:p w:rsidR="000B1719" w:rsidRPr="002E3D7B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5726CE">
        <w:rPr>
          <w:sz w:val="28"/>
          <w:szCs w:val="28"/>
          <w:lang w:eastAsia="ar-SA"/>
        </w:rPr>
        <w:lastRenderedPageBreak/>
        <w:t>принятие на федеральном уровне нормативных правовых актов, приво</w:t>
      </w:r>
      <w:r w:rsidRPr="002E3D7B">
        <w:rPr>
          <w:sz w:val="28"/>
          <w:szCs w:val="28"/>
          <w:lang w:eastAsia="ar-SA"/>
        </w:rPr>
        <w:t>дящих к росту расходной части местных бюджетов, в течение долгосрочного периода бюджетного планирования.</w:t>
      </w:r>
    </w:p>
    <w:p w:rsidR="000B1719" w:rsidRPr="00F212A2" w:rsidRDefault="000B1719" w:rsidP="000B1719">
      <w:pPr>
        <w:suppressAutoHyphens/>
        <w:ind w:right="5" w:firstLine="709"/>
        <w:jc w:val="center"/>
        <w:rPr>
          <w:sz w:val="28"/>
          <w:szCs w:val="28"/>
          <w:lang w:eastAsia="ar-SA"/>
        </w:rPr>
      </w:pPr>
    </w:p>
    <w:p w:rsidR="000B1719" w:rsidRPr="00F212A2" w:rsidRDefault="000B1719" w:rsidP="000B1719">
      <w:pPr>
        <w:suppressAutoHyphens/>
        <w:ind w:right="5"/>
        <w:jc w:val="center"/>
        <w:rPr>
          <w:b/>
          <w:sz w:val="28"/>
          <w:szCs w:val="28"/>
          <w:lang w:eastAsia="ar-SA"/>
        </w:rPr>
      </w:pPr>
      <w:r w:rsidRPr="00F212A2">
        <w:rPr>
          <w:b/>
          <w:sz w:val="28"/>
          <w:szCs w:val="28"/>
          <w:lang w:eastAsia="ar-SA"/>
        </w:rPr>
        <w:t>3. Цель и условия реализации Программы</w:t>
      </w:r>
    </w:p>
    <w:p w:rsidR="000B1719" w:rsidRPr="00851665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</w:p>
    <w:p w:rsidR="000B1719" w:rsidRPr="00680DA1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851665">
        <w:rPr>
          <w:sz w:val="28"/>
          <w:szCs w:val="28"/>
          <w:lang w:eastAsia="ar-SA"/>
        </w:rPr>
        <w:t xml:space="preserve">Целью настоящей Программы является </w:t>
      </w:r>
      <w:r>
        <w:rPr>
          <w:sz w:val="28"/>
          <w:szCs w:val="28"/>
          <w:lang w:eastAsia="ar-SA"/>
        </w:rPr>
        <w:t>повышение</w:t>
      </w:r>
      <w:r w:rsidRPr="00851665">
        <w:rPr>
          <w:sz w:val="28"/>
          <w:szCs w:val="28"/>
          <w:lang w:eastAsia="ar-SA"/>
        </w:rPr>
        <w:t xml:space="preserve"> долгосрочной </w:t>
      </w:r>
      <w:r>
        <w:rPr>
          <w:sz w:val="28"/>
          <w:szCs w:val="28"/>
          <w:lang w:eastAsia="ar-SA"/>
        </w:rPr>
        <w:t xml:space="preserve">долговой </w:t>
      </w:r>
      <w:r w:rsidRPr="00851665">
        <w:rPr>
          <w:sz w:val="28"/>
          <w:szCs w:val="28"/>
          <w:lang w:eastAsia="ar-SA"/>
        </w:rPr>
        <w:t xml:space="preserve">устойчивости и сбалансированности бюджетной системы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, своевременное и безусловное исполнение социально-значимых обязательств, </w:t>
      </w:r>
      <w:r w:rsidRPr="00851665">
        <w:rPr>
          <w:sz w:val="28"/>
          <w:szCs w:val="28"/>
          <w:lang w:eastAsia="ar-SA"/>
        </w:rPr>
        <w:t>финансово</w:t>
      </w:r>
      <w:r>
        <w:rPr>
          <w:sz w:val="28"/>
          <w:szCs w:val="28"/>
          <w:lang w:eastAsia="ar-SA"/>
        </w:rPr>
        <w:t>е</w:t>
      </w:r>
      <w:r w:rsidRPr="00851665">
        <w:rPr>
          <w:sz w:val="28"/>
          <w:szCs w:val="28"/>
          <w:lang w:eastAsia="ar-SA"/>
        </w:rPr>
        <w:t xml:space="preserve"> обеспечени</w:t>
      </w:r>
      <w:r>
        <w:rPr>
          <w:sz w:val="28"/>
          <w:szCs w:val="28"/>
          <w:lang w:eastAsia="ar-SA"/>
        </w:rPr>
        <w:t>е</w:t>
      </w:r>
      <w:r w:rsidRPr="00851665">
        <w:rPr>
          <w:sz w:val="28"/>
          <w:szCs w:val="28"/>
          <w:lang w:eastAsia="ar-SA"/>
        </w:rPr>
        <w:t xml:space="preserve"> расходных обязательств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</w:t>
      </w:r>
      <w:r w:rsidRPr="00851665">
        <w:rPr>
          <w:sz w:val="28"/>
          <w:szCs w:val="28"/>
          <w:lang w:eastAsia="ar-SA"/>
        </w:rPr>
        <w:t xml:space="preserve">без </w:t>
      </w:r>
      <w:r w:rsidRPr="00680DA1">
        <w:rPr>
          <w:sz w:val="28"/>
          <w:szCs w:val="28"/>
          <w:lang w:eastAsia="ar-SA"/>
        </w:rPr>
        <w:t>привлечения рыночных заимствований.</w:t>
      </w:r>
    </w:p>
    <w:p w:rsidR="000B1719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680DA1">
        <w:rPr>
          <w:sz w:val="28"/>
          <w:szCs w:val="28"/>
          <w:lang w:eastAsia="ar-SA"/>
        </w:rPr>
        <w:t xml:space="preserve">Необходимыми условиями достижения цели Программы являются увеличение налоговых и неналоговых доходов бюджета </w:t>
      </w:r>
      <w:r>
        <w:rPr>
          <w:bCs/>
          <w:sz w:val="28"/>
          <w:szCs w:val="28"/>
        </w:rPr>
        <w:t>Сосновоборского городского округа</w:t>
      </w:r>
      <w:r w:rsidRPr="00680DA1">
        <w:rPr>
          <w:sz w:val="28"/>
          <w:szCs w:val="28"/>
          <w:lang w:eastAsia="ar-SA"/>
        </w:rPr>
        <w:t xml:space="preserve">, оптимизация расходов бюджета </w:t>
      </w:r>
      <w:r>
        <w:rPr>
          <w:bCs/>
          <w:sz w:val="28"/>
          <w:szCs w:val="28"/>
        </w:rPr>
        <w:t>Сосновоборского городского округа</w:t>
      </w:r>
      <w:r w:rsidRPr="00680DA1">
        <w:rPr>
          <w:sz w:val="28"/>
          <w:szCs w:val="28"/>
          <w:lang w:eastAsia="ar-SA"/>
        </w:rPr>
        <w:t xml:space="preserve"> и совершенствование долговой политики </w:t>
      </w:r>
      <w:r>
        <w:rPr>
          <w:sz w:val="28"/>
          <w:szCs w:val="28"/>
          <w:lang w:eastAsia="ar-SA"/>
        </w:rPr>
        <w:t>муниципалитета</w:t>
      </w:r>
      <w:r w:rsidRPr="00680DA1">
        <w:rPr>
          <w:sz w:val="28"/>
          <w:szCs w:val="28"/>
          <w:lang w:eastAsia="ar-SA"/>
        </w:rPr>
        <w:t>.</w:t>
      </w:r>
    </w:p>
    <w:p w:rsidR="000B1719" w:rsidRPr="003412F0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680DA1">
        <w:rPr>
          <w:sz w:val="28"/>
          <w:szCs w:val="28"/>
          <w:lang w:eastAsia="ar-SA"/>
        </w:rPr>
        <w:t xml:space="preserve">Для достижения поставленной цели Программы и в целях нивелирования выявленных рисков при достижении основной задачи бюджетной политики </w:t>
      </w:r>
      <w:r>
        <w:rPr>
          <w:bCs/>
          <w:sz w:val="28"/>
          <w:szCs w:val="28"/>
        </w:rPr>
        <w:t>Сосновоборского городского округа</w:t>
      </w:r>
      <w:r w:rsidRPr="00680DA1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утверждается </w:t>
      </w:r>
      <w:r w:rsidRPr="003412F0">
        <w:rPr>
          <w:sz w:val="28"/>
          <w:szCs w:val="28"/>
          <w:lang w:eastAsia="ar-SA"/>
        </w:rPr>
        <w:t xml:space="preserve">План мероприятий по оздоровлению муниципальных финансов </w:t>
      </w:r>
      <w:r>
        <w:rPr>
          <w:bCs/>
          <w:sz w:val="28"/>
          <w:szCs w:val="28"/>
        </w:rPr>
        <w:t>Сосновоборского городского округа</w:t>
      </w:r>
      <w:r w:rsidRPr="003412F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</w:t>
      </w:r>
      <w:r w:rsidRPr="003412F0">
        <w:rPr>
          <w:sz w:val="28"/>
          <w:szCs w:val="28"/>
          <w:lang w:eastAsia="ar-SA"/>
        </w:rPr>
        <w:t>далее – План мероприятий)</w:t>
      </w:r>
      <w:r>
        <w:rPr>
          <w:sz w:val="28"/>
          <w:szCs w:val="28"/>
          <w:lang w:eastAsia="ar-SA"/>
        </w:rPr>
        <w:t>, являющийся</w:t>
      </w:r>
      <w:r w:rsidRPr="003412F0">
        <w:rPr>
          <w:sz w:val="28"/>
          <w:szCs w:val="28"/>
          <w:lang w:eastAsia="ar-SA"/>
        </w:rPr>
        <w:t xml:space="preserve"> </w:t>
      </w:r>
      <w:r w:rsidRPr="00401515">
        <w:rPr>
          <w:sz w:val="28"/>
          <w:szCs w:val="28"/>
          <w:lang w:eastAsia="ar-SA"/>
        </w:rPr>
        <w:t>Приложение</w:t>
      </w:r>
      <w:r>
        <w:rPr>
          <w:sz w:val="28"/>
          <w:szCs w:val="28"/>
          <w:lang w:eastAsia="ar-SA"/>
        </w:rPr>
        <w:t>м</w:t>
      </w:r>
      <w:r w:rsidRPr="00401515">
        <w:rPr>
          <w:sz w:val="28"/>
          <w:szCs w:val="28"/>
          <w:lang w:eastAsia="ar-SA"/>
        </w:rPr>
        <w:t xml:space="preserve"> к Программе</w:t>
      </w:r>
      <w:r>
        <w:rPr>
          <w:sz w:val="28"/>
          <w:szCs w:val="28"/>
          <w:lang w:eastAsia="ar-SA"/>
        </w:rPr>
        <w:t>,</w:t>
      </w:r>
      <w:r w:rsidRPr="003412F0">
        <w:rPr>
          <w:sz w:val="28"/>
          <w:szCs w:val="28"/>
          <w:lang w:eastAsia="ar-SA"/>
        </w:rPr>
        <w:t xml:space="preserve"> по следующим направлениям:</w:t>
      </w:r>
    </w:p>
    <w:p w:rsidR="000B1719" w:rsidRPr="00D43CBD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D43CBD">
        <w:rPr>
          <w:sz w:val="28"/>
          <w:szCs w:val="28"/>
          <w:lang w:eastAsia="ar-SA"/>
        </w:rPr>
        <w:t xml:space="preserve">мероприятия, направленные на увеличение доходов бюджета </w:t>
      </w:r>
      <w:r>
        <w:rPr>
          <w:bCs/>
          <w:sz w:val="28"/>
          <w:szCs w:val="28"/>
        </w:rPr>
        <w:t>Сосновоборского городского округа</w:t>
      </w:r>
      <w:r w:rsidRPr="00D43CBD">
        <w:rPr>
          <w:sz w:val="28"/>
          <w:szCs w:val="28"/>
          <w:lang w:eastAsia="ar-SA"/>
        </w:rPr>
        <w:t>;</w:t>
      </w:r>
    </w:p>
    <w:p w:rsidR="000B1719" w:rsidRPr="00D43CBD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D43CBD">
        <w:rPr>
          <w:sz w:val="28"/>
          <w:szCs w:val="28"/>
          <w:lang w:eastAsia="ar-SA"/>
        </w:rPr>
        <w:t xml:space="preserve">мероприятия по оптимизации расходов бюджета </w:t>
      </w:r>
      <w:r>
        <w:rPr>
          <w:bCs/>
          <w:sz w:val="28"/>
          <w:szCs w:val="28"/>
        </w:rPr>
        <w:t>Сосновоборского городского округа</w:t>
      </w:r>
      <w:r w:rsidRPr="00D43CBD">
        <w:rPr>
          <w:sz w:val="28"/>
          <w:szCs w:val="28"/>
          <w:lang w:eastAsia="ar-SA"/>
        </w:rPr>
        <w:t xml:space="preserve">; </w:t>
      </w:r>
      <w:r>
        <w:rPr>
          <w:sz w:val="28"/>
          <w:szCs w:val="28"/>
          <w:lang w:eastAsia="ar-SA"/>
        </w:rPr>
        <w:t xml:space="preserve"> </w:t>
      </w:r>
    </w:p>
    <w:p w:rsidR="000B1719" w:rsidRPr="00D43CBD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D43CBD">
        <w:rPr>
          <w:sz w:val="28"/>
          <w:szCs w:val="28"/>
          <w:lang w:eastAsia="ar-SA"/>
        </w:rPr>
        <w:t xml:space="preserve">мероприятия по оптимизации структуры и уровня </w:t>
      </w:r>
      <w:r>
        <w:rPr>
          <w:sz w:val="28"/>
          <w:szCs w:val="28"/>
          <w:lang w:eastAsia="ar-SA"/>
        </w:rPr>
        <w:t>муниципального</w:t>
      </w:r>
      <w:r w:rsidRPr="00D43CBD">
        <w:rPr>
          <w:sz w:val="28"/>
          <w:szCs w:val="28"/>
          <w:lang w:eastAsia="ar-SA"/>
        </w:rPr>
        <w:t xml:space="preserve"> долга </w:t>
      </w:r>
      <w:r>
        <w:rPr>
          <w:bCs/>
          <w:sz w:val="28"/>
          <w:szCs w:val="28"/>
        </w:rPr>
        <w:t>Сосновоборского городского округа</w:t>
      </w:r>
      <w:r w:rsidRPr="00D43CBD">
        <w:rPr>
          <w:sz w:val="28"/>
          <w:szCs w:val="28"/>
          <w:lang w:eastAsia="ar-SA"/>
        </w:rPr>
        <w:t>.</w:t>
      </w:r>
    </w:p>
    <w:p w:rsidR="000B1719" w:rsidRPr="00D40EAB" w:rsidRDefault="000B1719" w:rsidP="000B1719">
      <w:pPr>
        <w:suppressAutoHyphens/>
        <w:ind w:right="5" w:firstLine="709"/>
        <w:jc w:val="both"/>
        <w:rPr>
          <w:sz w:val="28"/>
          <w:szCs w:val="28"/>
          <w:lang w:eastAsia="ar-SA"/>
        </w:rPr>
      </w:pPr>
      <w:r w:rsidRPr="00D43CBD">
        <w:rPr>
          <w:sz w:val="28"/>
          <w:szCs w:val="28"/>
          <w:lang w:eastAsia="ar-SA"/>
        </w:rPr>
        <w:t xml:space="preserve">Организация выполнения Плана мероприятий будет осуществляться в рамках установленных полномочий органов </w:t>
      </w:r>
      <w:r w:rsidRPr="00D40EAB">
        <w:rPr>
          <w:sz w:val="28"/>
          <w:szCs w:val="28"/>
          <w:lang w:eastAsia="ar-SA"/>
        </w:rPr>
        <w:t xml:space="preserve">местного самоуправления </w:t>
      </w:r>
      <w:r>
        <w:rPr>
          <w:bCs/>
          <w:sz w:val="28"/>
          <w:szCs w:val="28"/>
        </w:rPr>
        <w:t>Сосновоборского городского округа</w:t>
      </w:r>
      <w:r w:rsidRPr="00D40EAB">
        <w:rPr>
          <w:sz w:val="28"/>
          <w:szCs w:val="28"/>
          <w:lang w:eastAsia="ar-SA"/>
        </w:rPr>
        <w:t>.</w:t>
      </w:r>
    </w:p>
    <w:p w:rsidR="000B1719" w:rsidRPr="00D40EAB" w:rsidRDefault="000B1719" w:rsidP="000B1719">
      <w:pPr>
        <w:suppressAutoHyphens/>
        <w:ind w:right="5"/>
        <w:jc w:val="both"/>
        <w:rPr>
          <w:b/>
          <w:sz w:val="28"/>
          <w:szCs w:val="28"/>
          <w:lang w:eastAsia="ar-SA"/>
        </w:rPr>
      </w:pPr>
    </w:p>
    <w:p w:rsidR="000B1719" w:rsidRPr="00D40EAB" w:rsidRDefault="000B1719" w:rsidP="000B1719">
      <w:pPr>
        <w:suppressAutoHyphens/>
        <w:ind w:right="5"/>
        <w:jc w:val="center"/>
        <w:rPr>
          <w:b/>
          <w:sz w:val="28"/>
          <w:szCs w:val="28"/>
          <w:lang w:eastAsia="ar-SA"/>
        </w:rPr>
      </w:pPr>
      <w:r w:rsidRPr="00D40EAB">
        <w:rPr>
          <w:b/>
          <w:sz w:val="28"/>
          <w:szCs w:val="28"/>
          <w:lang w:eastAsia="ar-SA"/>
        </w:rPr>
        <w:t>4. Механизм реализации и оценки выполнения Программы</w:t>
      </w:r>
    </w:p>
    <w:p w:rsidR="000B1719" w:rsidRPr="00D40EAB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</w:p>
    <w:p w:rsidR="000B1719" w:rsidRPr="00D40EAB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40EAB">
        <w:rPr>
          <w:sz w:val="28"/>
          <w:szCs w:val="28"/>
          <w:lang w:eastAsia="ar-SA"/>
        </w:rPr>
        <w:t>Механизм реализации Программы направлен на эффективное выполнение Программы и Плана мероприятий</w:t>
      </w:r>
      <w:r>
        <w:rPr>
          <w:sz w:val="28"/>
          <w:szCs w:val="28"/>
          <w:lang w:eastAsia="ar-SA"/>
        </w:rPr>
        <w:t xml:space="preserve">. </w:t>
      </w:r>
      <w:r w:rsidRPr="00D40EA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Комитет финансов </w:t>
      </w:r>
      <w:r>
        <w:rPr>
          <w:bCs/>
          <w:sz w:val="28"/>
          <w:szCs w:val="28"/>
        </w:rPr>
        <w:t>Сосновоборского городского округа</w:t>
      </w:r>
      <w:r>
        <w:rPr>
          <w:sz w:val="28"/>
          <w:szCs w:val="28"/>
          <w:lang w:eastAsia="ar-SA"/>
        </w:rPr>
        <w:t xml:space="preserve"> организует</w:t>
      </w:r>
      <w:r w:rsidRPr="00D40EAB">
        <w:rPr>
          <w:sz w:val="28"/>
          <w:szCs w:val="28"/>
          <w:lang w:eastAsia="ar-SA"/>
        </w:rPr>
        <w:t xml:space="preserve"> действи</w:t>
      </w:r>
      <w:r>
        <w:rPr>
          <w:sz w:val="28"/>
          <w:szCs w:val="28"/>
          <w:lang w:eastAsia="ar-SA"/>
        </w:rPr>
        <w:t>я</w:t>
      </w:r>
      <w:r w:rsidRPr="00D40EAB">
        <w:rPr>
          <w:sz w:val="28"/>
          <w:szCs w:val="28"/>
          <w:lang w:eastAsia="ar-SA"/>
        </w:rPr>
        <w:t xml:space="preserve"> ответственных исполнителей согласно Плану мероприятий, обеспечени</w:t>
      </w:r>
      <w:r>
        <w:rPr>
          <w:sz w:val="28"/>
          <w:szCs w:val="28"/>
          <w:lang w:eastAsia="ar-SA"/>
        </w:rPr>
        <w:t>е</w:t>
      </w:r>
      <w:r w:rsidRPr="00D40EAB">
        <w:rPr>
          <w:sz w:val="28"/>
          <w:szCs w:val="28"/>
          <w:lang w:eastAsia="ar-SA"/>
        </w:rPr>
        <w:t xml:space="preserve"> контроля за исполнением, выработк</w:t>
      </w:r>
      <w:r>
        <w:rPr>
          <w:sz w:val="28"/>
          <w:szCs w:val="28"/>
          <w:lang w:eastAsia="ar-SA"/>
        </w:rPr>
        <w:t>у</w:t>
      </w:r>
      <w:r w:rsidRPr="00D40EAB">
        <w:rPr>
          <w:sz w:val="28"/>
          <w:szCs w:val="28"/>
          <w:lang w:eastAsia="ar-SA"/>
        </w:rPr>
        <w:t xml:space="preserve"> решений при возникновении отклонения от выполнения Плана мероприятий.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 xml:space="preserve">Комитет финансов </w:t>
      </w:r>
      <w:r w:rsidRPr="00D54115">
        <w:rPr>
          <w:bCs/>
          <w:sz w:val="28"/>
          <w:szCs w:val="28"/>
        </w:rPr>
        <w:t>Сосновоборского городского округа</w:t>
      </w:r>
      <w:r w:rsidRPr="00D54115">
        <w:rPr>
          <w:sz w:val="28"/>
          <w:szCs w:val="28"/>
          <w:lang w:eastAsia="ar-SA"/>
        </w:rPr>
        <w:t>: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>обеспечивает ежеквартальный мониторинг выполнения показателей Плана мероприятий на основании отчетов ответственных исполнителей Плана мероприятий;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lastRenderedPageBreak/>
        <w:t>осуществляет текущее управление реализацией Программы, актуализирует Программу и План мероприятий;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>запрашивает у ответственных за реализацию мероприятий исполнителей дополнительные сведения, необходимые для проведения мониторинга Плана мероприятий;</w:t>
      </w:r>
    </w:p>
    <w:p w:rsidR="000B1719" w:rsidRPr="005F7609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>осуществляет ежегодную оценку эффективности реализации Программы, в том числе с учетом полученного бюджетного эффекта.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 xml:space="preserve">Ответственные за реализацию мероприятий Плана мероприятий исполнители представляют в комитет финансов </w:t>
      </w:r>
      <w:r w:rsidRPr="00D54115">
        <w:rPr>
          <w:bCs/>
          <w:sz w:val="28"/>
          <w:szCs w:val="28"/>
        </w:rPr>
        <w:t>Сосновоборского городского округа</w:t>
      </w:r>
      <w:r w:rsidRPr="00D54115">
        <w:rPr>
          <w:sz w:val="28"/>
          <w:szCs w:val="28"/>
          <w:lang w:eastAsia="ar-SA"/>
        </w:rPr>
        <w:t>: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D54115">
        <w:rPr>
          <w:sz w:val="28"/>
          <w:szCs w:val="28"/>
          <w:lang w:eastAsia="ar-SA"/>
        </w:rPr>
        <w:t>ежеквартальные отчеты о выполнении Плана мероприятий;</w:t>
      </w:r>
    </w:p>
    <w:p w:rsidR="000B1719" w:rsidRPr="00D54115" w:rsidRDefault="000B1719" w:rsidP="000B1719">
      <w:pPr>
        <w:suppressAutoHyphens/>
        <w:ind w:right="5" w:firstLine="708"/>
        <w:jc w:val="both"/>
        <w:rPr>
          <w:sz w:val="28"/>
          <w:szCs w:val="28"/>
          <w:lang w:eastAsia="ar-SA"/>
        </w:rPr>
      </w:pPr>
      <w:r w:rsidRPr="00CA312F">
        <w:rPr>
          <w:sz w:val="28"/>
          <w:szCs w:val="28"/>
          <w:lang w:eastAsia="ar-SA"/>
        </w:rPr>
        <w:t>предложения о внесении изменений в Программу и План мероприятий.</w:t>
      </w:r>
    </w:p>
    <w:p w:rsidR="000B1719" w:rsidRPr="008B2C36" w:rsidRDefault="000B1719" w:rsidP="00746FD7">
      <w:pPr>
        <w:jc w:val="right"/>
        <w:rPr>
          <w:sz w:val="24"/>
          <w:szCs w:val="24"/>
        </w:rPr>
      </w:pPr>
    </w:p>
    <w:p w:rsidR="00746FD7" w:rsidRDefault="00746FD7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</w:pPr>
    </w:p>
    <w:p w:rsidR="000B1719" w:rsidRDefault="000B1719" w:rsidP="00746FD7">
      <w:pPr>
        <w:jc w:val="both"/>
        <w:rPr>
          <w:sz w:val="24"/>
        </w:rPr>
        <w:sectPr w:rsidR="000B1719" w:rsidSect="00D06B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</w:sectPr>
      </w:pPr>
    </w:p>
    <w:p w:rsidR="000B1719" w:rsidRDefault="000B1719" w:rsidP="000B1719">
      <w:pPr>
        <w:jc w:val="right"/>
      </w:pPr>
      <w:bookmarkStart w:id="1" w:name="_Ref181403480"/>
      <w:r>
        <w:lastRenderedPageBreak/>
        <w:t>Приложение к Программе</w:t>
      </w:r>
    </w:p>
    <w:p w:rsidR="000B1719" w:rsidRDefault="000B1719" w:rsidP="000B1719">
      <w:pPr>
        <w:jc w:val="right"/>
      </w:pPr>
    </w:p>
    <w:p w:rsidR="000B1719" w:rsidRPr="007A73FB" w:rsidRDefault="000B1719" w:rsidP="000B1719">
      <w:pPr>
        <w:pStyle w:val="ac"/>
      </w:pPr>
      <w:r w:rsidRPr="007A73FB">
        <w:t xml:space="preserve">План мероприятий по оздоровлению государственных (муниципальных) финансов </w:t>
      </w:r>
      <w:r>
        <w:t>Сосновоборского городского округа</w:t>
      </w:r>
    </w:p>
    <w:p w:rsidR="000B1719" w:rsidRPr="007A73FB" w:rsidRDefault="000B1719" w:rsidP="000B1719"/>
    <w:tbl>
      <w:tblPr>
        <w:tblW w:w="15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747"/>
        <w:gridCol w:w="1671"/>
        <w:gridCol w:w="1465"/>
        <w:gridCol w:w="812"/>
        <w:gridCol w:w="1176"/>
        <w:gridCol w:w="1502"/>
        <w:gridCol w:w="1369"/>
        <w:gridCol w:w="1453"/>
        <w:gridCol w:w="1431"/>
        <w:gridCol w:w="1249"/>
      </w:tblGrid>
      <w:tr w:rsidR="000B1719" w:rsidRPr="008150E7" w:rsidTr="00CE42F9">
        <w:trPr>
          <w:trHeight w:val="222"/>
          <w:tblHeader/>
          <w:jc w:val="center"/>
        </w:trPr>
        <w:tc>
          <w:tcPr>
            <w:tcW w:w="669" w:type="dxa"/>
            <w:vMerge w:val="restart"/>
          </w:tcPr>
          <w:bookmarkEnd w:id="1"/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№</w:t>
            </w:r>
          </w:p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п.п.</w:t>
            </w:r>
          </w:p>
        </w:tc>
        <w:tc>
          <w:tcPr>
            <w:tcW w:w="2747" w:type="dxa"/>
            <w:vMerge w:val="restart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671" w:type="dxa"/>
            <w:vMerge w:val="restart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Механизм реализации</w:t>
            </w:r>
          </w:p>
        </w:tc>
        <w:tc>
          <w:tcPr>
            <w:tcW w:w="1465" w:type="dxa"/>
            <w:vMerge w:val="restart"/>
          </w:tcPr>
          <w:p w:rsidR="000B1719" w:rsidRPr="00455F7B" w:rsidRDefault="000B1719" w:rsidP="00CE42F9">
            <w:pPr>
              <w:pStyle w:val="aa"/>
              <w:ind w:left="-66" w:right="-103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Ответственные за реализацию мероприятия</w:t>
            </w:r>
          </w:p>
        </w:tc>
        <w:tc>
          <w:tcPr>
            <w:tcW w:w="812" w:type="dxa"/>
            <w:vMerge w:val="restart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Срок реализации</w:t>
            </w:r>
          </w:p>
        </w:tc>
        <w:tc>
          <w:tcPr>
            <w:tcW w:w="1176" w:type="dxa"/>
            <w:vMerge w:val="restart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Бюджетный эффект</w:t>
            </w:r>
          </w:p>
        </w:tc>
        <w:tc>
          <w:tcPr>
            <w:tcW w:w="7004" w:type="dxa"/>
            <w:gridSpan w:val="5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Оценка бюджетного эффекта, тысяч рублей</w:t>
            </w:r>
          </w:p>
        </w:tc>
      </w:tr>
      <w:tr w:rsidR="000B1719" w:rsidRPr="00455F7B" w:rsidTr="00CE42F9">
        <w:trPr>
          <w:tblHeader/>
          <w:jc w:val="center"/>
        </w:trPr>
        <w:tc>
          <w:tcPr>
            <w:tcW w:w="669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2747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671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65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12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176" w:type="dxa"/>
            <w:vMerge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spacing w:after="0"/>
              <w:ind w:left="-108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Итого за 2026-2029 годы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2026 год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2027 год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2028 год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spacing w:after="0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2029 год</w:t>
            </w:r>
          </w:p>
        </w:tc>
      </w:tr>
      <w:tr w:rsidR="000B1719" w:rsidRPr="008150E7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1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 xml:space="preserve">Мероприятия, направленные на увеличение доходов консолидированного бюджета Ленинградской области </w:t>
            </w:r>
          </w:p>
        </w:tc>
      </w:tr>
      <w:tr w:rsidR="000B1719" w:rsidRPr="008150E7" w:rsidTr="00CE42F9">
        <w:trPr>
          <w:trHeight w:val="64"/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1.</w:t>
            </w:r>
            <w:r>
              <w:rPr>
                <w:rFonts w:cs="Times New Roman"/>
                <w:szCs w:val="24"/>
                <w:lang w:val="ru-RU"/>
              </w:rPr>
              <w:t>1</w:t>
            </w:r>
          </w:p>
        </w:tc>
        <w:tc>
          <w:tcPr>
            <w:tcW w:w="13626" w:type="dxa"/>
            <w:gridSpan w:val="9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bCs/>
                <w:color w:val="000000"/>
                <w:szCs w:val="24"/>
                <w:lang w:val="ru-RU" w:eastAsia="ru-RU"/>
              </w:rPr>
              <w:t>Мероприятия по улучшению администрирования доходов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1.1.1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Сокращение недоимки по налоговым платежам, поступающим в консолидированный бюджет Сосновоборского городского округа</w:t>
            </w:r>
          </w:p>
        </w:tc>
        <w:tc>
          <w:tcPr>
            <w:tcW w:w="1671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 xml:space="preserve">Принятие мер по взысканию задолженности по налогам и сборам в рамках полномочий налоговых органов: направление в администрацию Сосновоборского городского округа перечней организаций и учреждений, имеющих </w:t>
            </w: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lastRenderedPageBreak/>
              <w:t>задолженность по налоговым платежам, для проведения адресной работы с налогоплательщиками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Администрация Сосновоборского городского округа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Комитет финансов Сосновоборского городского округа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УФНС по Ленинградской области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2026-2029 годы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Дополнительные поступления доходов в бюджет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4 800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94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1 200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1 200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1 200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1 200</w:t>
            </w:r>
          </w:p>
        </w:tc>
      </w:tr>
      <w:tr w:rsidR="000B1719" w:rsidRPr="008150E7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eastAsia="Calibri" w:cs="Times New Roman"/>
                <w:color w:val="000000"/>
                <w:szCs w:val="24"/>
                <w:lang w:val="ru-RU"/>
              </w:rPr>
              <w:t>1.2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bCs/>
                <w:color w:val="000000"/>
                <w:szCs w:val="24"/>
                <w:lang w:val="ru-RU" w:eastAsia="ru-RU"/>
              </w:rPr>
              <w:t>Мероприятия по управлению местными налоговыми доходами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1.2.1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Повышение ставки туристического налога на территории Сосновоборского городского округа</w:t>
            </w:r>
          </w:p>
        </w:tc>
        <w:tc>
          <w:tcPr>
            <w:tcW w:w="1671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t xml:space="preserve">Внесение изменений в Решение совета депутатов Сосновоборского городского округа  "Об установлении туристического налога на территории муниципального образования Сосновоборский городской 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округ Ленинградской области"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Администрация Сосновоборского городского округа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>Комитет финансов Сосновоборского городского округа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br/>
              <w:t xml:space="preserve">Совет депутатов Сосновоборского </w:t>
            </w:r>
            <w:r w:rsidRPr="00455F7B">
              <w:rPr>
                <w:rFonts w:eastAsia="Times New Roman" w:cs="Times New Roman"/>
                <w:color w:val="auto"/>
                <w:szCs w:val="24"/>
                <w:lang w:val="ru-RU" w:eastAsia="ru-RU"/>
              </w:rPr>
              <w:lastRenderedPageBreak/>
              <w:t>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lastRenderedPageBreak/>
              <w:t>2027-2029 годы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color w:val="000000"/>
                <w:szCs w:val="24"/>
                <w:lang w:val="ru-RU" w:eastAsia="ru-RU"/>
              </w:rPr>
              <w:t>Дополнительные поступления доходов в бюджет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15 456,2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94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0,0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1 717,0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5 152,2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8 587,0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</w:p>
        </w:tc>
        <w:tc>
          <w:tcPr>
            <w:tcW w:w="7871" w:type="dxa"/>
            <w:gridSpan w:val="5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eastAsia="Times New Roman" w:cs="Times New Roman"/>
                <w:b/>
                <w:bCs/>
                <w:color w:val="000000"/>
                <w:szCs w:val="24"/>
                <w:lang w:val="ru-RU" w:eastAsia="ru-RU"/>
              </w:rPr>
              <w:t>Бюджетный эффект от мероприятий по увеличению доходов консолидированного бюджета 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20 256,2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94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1 200,0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2 917,0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6 352,2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9 787,0</w:t>
            </w:r>
          </w:p>
        </w:tc>
      </w:tr>
      <w:tr w:rsidR="000B1719" w:rsidRPr="008150E7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2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Мероприятия по оптимизации расходов бюджета Сосновоборского городского округа</w:t>
            </w:r>
          </w:p>
        </w:tc>
      </w:tr>
      <w:tr w:rsidR="000B1719" w:rsidRPr="008150E7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2.1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0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Оптимизация расходов на муниципальное управление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hanging="92"/>
              <w:jc w:val="center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eastAsia="Calibri" w:cs="Times New Roman"/>
                <w:color w:val="000000"/>
                <w:szCs w:val="24"/>
              </w:rPr>
              <w:t>2</w:t>
            </w:r>
            <w:r w:rsidRPr="00455F7B">
              <w:rPr>
                <w:rFonts w:eastAsia="Calibri" w:cs="Times New Roman"/>
                <w:color w:val="000000"/>
                <w:szCs w:val="24"/>
                <w:lang w:val="ru-RU"/>
              </w:rPr>
              <w:t>.1.1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Сокращение расходов на содержание органов местного самоуправления</w:t>
            </w:r>
          </w:p>
        </w:tc>
        <w:tc>
          <w:tcPr>
            <w:tcW w:w="1671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Внесение изменений в решение о бюджете Сосновоборского городского округа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Администрация </w:t>
            </w:r>
            <w:r w:rsidRPr="00455F7B">
              <w:rPr>
                <w:rFonts w:cs="Times New Roman"/>
                <w:szCs w:val="24"/>
                <w:lang w:val="ru-RU"/>
              </w:rPr>
              <w:t xml:space="preserve">Сосновоборского городского округа, КУМИ Сосновоборского городского округа,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Комитет образования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, Комитет финансов </w:t>
            </w:r>
            <w:r w:rsidRPr="00455F7B">
              <w:rPr>
                <w:rFonts w:cs="Times New Roman"/>
                <w:szCs w:val="24"/>
                <w:lang w:val="ru-RU"/>
              </w:rPr>
              <w:t>Сосновобор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ского городского округа, совет депутатов Сосновоборского городского округа, КСП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2026 год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eastAsia="Calibri" w:cs="Times New Roman"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2 003,9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94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2 003,9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8150E7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2.2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Оптимизация расходов на содержание бюджетной сети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right="-23"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2.2.</w:t>
            </w:r>
            <w:r w:rsidRPr="00455F7B">
              <w:rPr>
                <w:rFonts w:cs="Times New Roman"/>
                <w:color w:val="auto"/>
                <w:szCs w:val="24"/>
              </w:rPr>
              <w:t>1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на содержание муниципальных казенных учреждения 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Внесение изменений в решение о бюджете Сосновоборского городского округа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Администрация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округа, КУМИ Сосновоборского городского округа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2026 год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527,9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527,9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highlight w:val="yellow"/>
                <w:lang w:val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right="-23"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2.2.2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на предоставление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субсидий бюджетным и автономным учреждениям: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Внесение изменений в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решение о бюджете Сосновоборского городского округа</w:t>
            </w:r>
          </w:p>
        </w:tc>
        <w:tc>
          <w:tcPr>
            <w:tcW w:w="1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Комитет образовани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я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, отдел по развитию культуры и туризма 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, отдел по физической культуре и спорту 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округа, комитет по управлению жилищно-коммуналь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ным хозяйством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 xml:space="preserve">Сосновоборского городского округа, отдел по молодежной политике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2026- 2028г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Сокращение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96 684,6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12 077,9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hanging="1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41 666,5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hanging="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42 940,2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right="-23"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на иные цели (в т.ч. укрепление материально - технической базы) 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39 752,0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12 077,9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13 349,3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14 324,8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right="-23"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на финансовое обеспечение муниципального задания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56 932,6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hanging="1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28 317,2</w:t>
            </w: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hanging="1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28 615,4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</w:tr>
      <w:tr w:rsidR="000B1719" w:rsidRPr="008150E7" w:rsidTr="00CE42F9">
        <w:trPr>
          <w:jc w:val="center"/>
        </w:trPr>
        <w:tc>
          <w:tcPr>
            <w:tcW w:w="669" w:type="dxa"/>
            <w:tcBorders>
              <w:top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2.3</w:t>
            </w:r>
          </w:p>
        </w:tc>
        <w:tc>
          <w:tcPr>
            <w:tcW w:w="14875" w:type="dxa"/>
            <w:gridSpan w:val="10"/>
            <w:tcBorders>
              <w:top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Повышение эффективности мер социальной поддержки населения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2.3.1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Оптимизация мер социальной поддержки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Проведение аудита системы мер социальной поддержки и механизмов их предоставления;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изменение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условий предоставления ряда выплат с учетом введения критериев нуждаемости;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внесение соответствующих поправок в нормативные правовые акты Сосновоборского городского округа 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Отдел социальной поддержки администрации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2026 - 2028 годы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18 533,1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1 600,5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5 644,2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5 644,2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left="-30" w:right="-122"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5 644,2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2.4</w:t>
            </w:r>
          </w:p>
        </w:tc>
        <w:tc>
          <w:tcPr>
            <w:tcW w:w="14875" w:type="dxa"/>
            <w:gridSpan w:val="10"/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Иные мероприятия</w:t>
            </w: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2.4.1</w:t>
            </w:r>
          </w:p>
        </w:tc>
        <w:tc>
          <w:tcPr>
            <w:tcW w:w="2747" w:type="dxa"/>
            <w:tcBorders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Оптимизация субсидий юридическим лицам</w:t>
            </w:r>
          </w:p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Внесение изменений в решение о бюджете Сосновоборского городского округа</w:t>
            </w:r>
          </w:p>
        </w:tc>
        <w:tc>
          <w:tcPr>
            <w:tcW w:w="1465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Комитет по жилищно-коммунальному хозяйству </w:t>
            </w:r>
            <w:r w:rsidRPr="00455F7B">
              <w:rPr>
                <w:rFonts w:cs="Times New Roman"/>
                <w:szCs w:val="24"/>
                <w:lang w:val="ru-RU"/>
              </w:rPr>
              <w:t xml:space="preserve">Сосновоборского городского округа,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отдел экономического развития администрации Сосновоборского городского округа, комитет образования Сосновоборского городского округа, отдел по связям с общественностью администрации Сосновоборского городского округа</w:t>
            </w:r>
          </w:p>
        </w:tc>
        <w:tc>
          <w:tcPr>
            <w:tcW w:w="812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2026 – 2028 годы</w:t>
            </w:r>
          </w:p>
        </w:tc>
        <w:tc>
          <w:tcPr>
            <w:tcW w:w="1176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го округа</w:t>
            </w:r>
          </w:p>
        </w:tc>
        <w:tc>
          <w:tcPr>
            <w:tcW w:w="1502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17 962,2</w:t>
            </w:r>
          </w:p>
        </w:tc>
        <w:tc>
          <w:tcPr>
            <w:tcW w:w="1369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11 175,1</w:t>
            </w:r>
          </w:p>
        </w:tc>
        <w:tc>
          <w:tcPr>
            <w:tcW w:w="1453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hanging="38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4 109,0</w:t>
            </w:r>
          </w:p>
        </w:tc>
        <w:tc>
          <w:tcPr>
            <w:tcW w:w="1431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hanging="38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2 678,1</w:t>
            </w:r>
          </w:p>
        </w:tc>
        <w:tc>
          <w:tcPr>
            <w:tcW w:w="1249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747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65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502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31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</w:t>
            </w:r>
            <w:r w:rsidRPr="00455F7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lastRenderedPageBreak/>
              <w:t xml:space="preserve">Оптимизация субсидий </w:t>
            </w:r>
            <w:r w:rsidRPr="00455F7B">
              <w:rPr>
                <w:sz w:val="24"/>
                <w:szCs w:val="24"/>
              </w:rPr>
              <w:lastRenderedPageBreak/>
              <w:t xml:space="preserve">некоммерческим организациям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Внесение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изменений в решение о бюджете Сосновоборского городского округа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Отдел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экономического развития администрации Сосновоборского городского округа, отдел социальной поддержки администрации Сосновоборского городского округа</w:t>
            </w:r>
          </w:p>
        </w:tc>
        <w:tc>
          <w:tcPr>
            <w:tcW w:w="812" w:type="dxa"/>
            <w:shd w:val="clear" w:color="auto" w:fill="auto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2026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- 2028 годы 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Сокраще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922,6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65,0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424,1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80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433,5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2.4.3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 xml:space="preserve">Сокращение расходов дорожного фонда Сосновоборского городского округа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 xml:space="preserve">Приведение в соответствие расходов к доходам дорожного фонда Сосновоборского городского округа 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Комитет по жилищно-коммунальному хозяйству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812" w:type="dxa"/>
            <w:shd w:val="clear" w:color="auto" w:fill="auto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2026</w:t>
            </w:r>
            <w:r w:rsidRPr="00455F7B">
              <w:rPr>
                <w:rFonts w:cs="Times New Roman"/>
                <w:szCs w:val="24"/>
              </w:rPr>
              <w:t xml:space="preserve"> </w:t>
            </w:r>
            <w:r w:rsidRPr="00455F7B">
              <w:rPr>
                <w:rFonts w:cs="Times New Roman"/>
                <w:szCs w:val="24"/>
                <w:lang w:val="ru-RU"/>
              </w:rPr>
              <w:t>год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53 000,0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53 000,0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lastRenderedPageBreak/>
              <w:t>2.4.4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455F7B">
              <w:rPr>
                <w:sz w:val="24"/>
                <w:szCs w:val="24"/>
              </w:rPr>
              <w:t>Оптимизация расходов в случае отсутствия заключенных муниципальных контрактов (контрактов) на поставку товаров, выполнение работ, оказание услуг, образования экономии средств местного бюджета Сосновоборского городского округа по результатам процедур осуществления закупок для муниципальных нужд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Внесение изменений сводную бюджетную роспись местного бюджета Сосновоборского городского округа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Комитет финансов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2026</w:t>
            </w:r>
            <w:r w:rsidRPr="00455F7B">
              <w:rPr>
                <w:rFonts w:cs="Times New Roman"/>
                <w:szCs w:val="24"/>
              </w:rPr>
              <w:t xml:space="preserve"> </w:t>
            </w:r>
            <w:r w:rsidRPr="00455F7B">
              <w:rPr>
                <w:rFonts w:cs="Times New Roman"/>
                <w:szCs w:val="24"/>
                <w:lang w:val="ru-RU"/>
              </w:rPr>
              <w:t>год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highlight w:val="yellow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34 049,8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34 049,8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color w:val="auto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2.4.5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Оптимизация расходов местного бюджета Сосновоборского городского округа на проведение культурно-массовых мероприятий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 xml:space="preserve">Сокращение расходов на проведение культурно-массовых мероприятий за счет уменьшения количества участников, отмены части мероприятий, оптимизации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смет затрат и другое 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Комитет образования Сосновоборского городского округа, отдел по развитию культуры и туризма администрации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>Сосновоборского городского округа,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отдел по физической культуре и спорту Сосновоборского городского округа, 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отдел социальной поддержки Сосновоборского городского округа,</w:t>
            </w:r>
          </w:p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>отдел по молодежной политике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2026</w:t>
            </w:r>
            <w:r w:rsidRPr="00455F7B">
              <w:rPr>
                <w:rFonts w:cs="Times New Roman"/>
                <w:szCs w:val="24"/>
              </w:rPr>
              <w:t xml:space="preserve"> </w:t>
            </w:r>
            <w:r w:rsidRPr="00455F7B">
              <w:rPr>
                <w:rFonts w:cs="Times New Roman"/>
                <w:szCs w:val="24"/>
                <w:lang w:val="ru-RU"/>
              </w:rPr>
              <w:t>год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2 167,9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2 167,9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2.4.6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455F7B">
              <w:rPr>
                <w:sz w:val="24"/>
                <w:szCs w:val="24"/>
              </w:rPr>
              <w:t xml:space="preserve">Сокращение расходов по реестру объектов </w:t>
            </w:r>
            <w:r w:rsidRPr="00455F7B">
              <w:rPr>
                <w:sz w:val="24"/>
                <w:szCs w:val="24"/>
              </w:rPr>
              <w:lastRenderedPageBreak/>
              <w:t>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местного бюджета Сосновоборского городского округа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 xml:space="preserve">Приостановление или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перенос реализации на более поздний срок новых инвестиционных проектов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lastRenderedPageBreak/>
              <w:t>Отдел капитально</w:t>
            </w:r>
            <w:r w:rsidRPr="00455F7B">
              <w:rPr>
                <w:sz w:val="24"/>
                <w:szCs w:val="24"/>
              </w:rPr>
              <w:lastRenderedPageBreak/>
              <w:t>го строительства администрации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2026</w:t>
            </w:r>
            <w:r w:rsidRPr="00455F7B">
              <w:rPr>
                <w:rFonts w:cs="Times New Roman"/>
                <w:szCs w:val="24"/>
              </w:rPr>
              <w:t xml:space="preserve"> </w:t>
            </w:r>
            <w:r w:rsidRPr="00455F7B">
              <w:rPr>
                <w:rFonts w:cs="Times New Roman"/>
                <w:szCs w:val="24"/>
                <w:lang w:val="ru-RU"/>
              </w:rPr>
              <w:t>год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lastRenderedPageBreak/>
              <w:t xml:space="preserve">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26 815,9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26 815,9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trHeight w:val="1154"/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ind w:left="-92" w:right="-23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2.4.7</w:t>
            </w:r>
          </w:p>
        </w:tc>
        <w:tc>
          <w:tcPr>
            <w:tcW w:w="2747" w:type="dxa"/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 xml:space="preserve">Сокращение расходов на обслуживание муниципального долга Сосновоборского городского округа в связи с не привлечением рыночных заимствований 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Покрытие дефицита местного бюджета Сосновоборского городского округа свободными остатками средств, сформирован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ными на едином счете бюджета на начало финансового года</w:t>
            </w:r>
          </w:p>
        </w:tc>
        <w:tc>
          <w:tcPr>
            <w:tcW w:w="1465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Комитет финансов Сосновоборского городского округа</w:t>
            </w:r>
          </w:p>
        </w:tc>
        <w:tc>
          <w:tcPr>
            <w:tcW w:w="812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2027 – 2028 годы</w:t>
            </w:r>
          </w:p>
        </w:tc>
        <w:tc>
          <w:tcPr>
            <w:tcW w:w="1176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6 218,3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4 095,0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2 123,3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left="-63" w:right="-89"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trHeight w:val="1863"/>
          <w:jc w:val="center"/>
        </w:trPr>
        <w:tc>
          <w:tcPr>
            <w:tcW w:w="669" w:type="dxa"/>
            <w:tcBorders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ind w:left="-92" w:right="-23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2.4.8</w:t>
            </w:r>
          </w:p>
        </w:tc>
        <w:tc>
          <w:tcPr>
            <w:tcW w:w="2747" w:type="dxa"/>
            <w:tcBorders>
              <w:bottom w:val="nil"/>
            </w:tcBorders>
          </w:tcPr>
          <w:p w:rsidR="000B1719" w:rsidRPr="00455F7B" w:rsidRDefault="000B1719" w:rsidP="00CE42F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5F7B">
              <w:rPr>
                <w:sz w:val="24"/>
                <w:szCs w:val="24"/>
              </w:rPr>
              <w:t>Иные мероприятия по оптимизации расходов, не носящих приоритетный характер:</w:t>
            </w:r>
          </w:p>
        </w:tc>
        <w:tc>
          <w:tcPr>
            <w:tcW w:w="1671" w:type="dxa"/>
            <w:tcBorders>
              <w:top w:val="single" w:sz="4" w:space="0" w:color="auto"/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Перенос сроков реализации мероприятий на более поздний</w:t>
            </w:r>
          </w:p>
        </w:tc>
        <w:tc>
          <w:tcPr>
            <w:tcW w:w="1465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Комитет по управлению жилищно-коммунальным 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, отдел гражданской защиты и общественной безопасности 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 xml:space="preserve">Сосновоборского </w:t>
            </w:r>
            <w:r w:rsidRPr="00455F7B">
              <w:rPr>
                <w:rFonts w:cs="Times New Roman"/>
                <w:szCs w:val="24"/>
                <w:lang w:val="ru-RU"/>
              </w:rPr>
              <w:lastRenderedPageBreak/>
              <w:t>городского округа,</w:t>
            </w:r>
          </w:p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color w:val="auto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 xml:space="preserve">КУМИ Сосновоборского городского округа, </w:t>
            </w:r>
          </w:p>
          <w:p w:rsidR="000B1719" w:rsidRPr="00455F7B" w:rsidRDefault="000B1719" w:rsidP="00CE42F9">
            <w:pPr>
              <w:pStyle w:val="aa"/>
              <w:ind w:firstLine="0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отдел по развитию культуры и туризма 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, </w:t>
            </w:r>
            <w:r w:rsidRPr="00455F7B">
              <w:rPr>
                <w:rFonts w:cs="Times New Roman"/>
                <w:szCs w:val="24"/>
                <w:lang w:val="ru-RU"/>
              </w:rPr>
              <w:t xml:space="preserve"> отдел по молодежной политике </w:t>
            </w: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администрации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812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lastRenderedPageBreak/>
              <w:t>2026 год</w:t>
            </w:r>
          </w:p>
        </w:tc>
        <w:tc>
          <w:tcPr>
            <w:tcW w:w="1176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color w:val="auto"/>
                <w:szCs w:val="24"/>
                <w:lang w:val="ru-RU"/>
              </w:rPr>
              <w:t xml:space="preserve">Сокращение расходов местного бюджета </w:t>
            </w:r>
            <w:r w:rsidRPr="00455F7B">
              <w:rPr>
                <w:rFonts w:cs="Times New Roman"/>
                <w:szCs w:val="24"/>
                <w:lang w:val="ru-RU"/>
              </w:rPr>
              <w:t>Сосновоборского городского округа</w:t>
            </w:r>
          </w:p>
        </w:tc>
        <w:tc>
          <w:tcPr>
            <w:tcW w:w="1502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firstLine="31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4 428,3</w:t>
            </w:r>
          </w:p>
        </w:tc>
        <w:tc>
          <w:tcPr>
            <w:tcW w:w="1369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szCs w:val="24"/>
                <w:lang w:val="ru-RU"/>
              </w:rPr>
              <w:t>4 428,3</w:t>
            </w:r>
          </w:p>
        </w:tc>
        <w:tc>
          <w:tcPr>
            <w:tcW w:w="1453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highlight w:val="yellow"/>
                <w:lang w:val="ru-RU"/>
              </w:rPr>
            </w:pPr>
          </w:p>
        </w:tc>
        <w:tc>
          <w:tcPr>
            <w:tcW w:w="1431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hanging="15"/>
              <w:jc w:val="center"/>
              <w:rPr>
                <w:rFonts w:cs="Times New Roman"/>
                <w:szCs w:val="24"/>
                <w:lang w:val="ru-RU"/>
              </w:rPr>
            </w:pPr>
          </w:p>
        </w:tc>
        <w:tc>
          <w:tcPr>
            <w:tcW w:w="1249" w:type="dxa"/>
            <w:tcBorders>
              <w:bottom w:val="nil"/>
            </w:tcBorders>
          </w:tcPr>
          <w:p w:rsidR="000B1719" w:rsidRPr="00455F7B" w:rsidRDefault="000B1719" w:rsidP="00CE42F9">
            <w:pPr>
              <w:pStyle w:val="aa"/>
              <w:ind w:left="-63" w:right="-89" w:firstLine="0"/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0B1719" w:rsidRPr="00455F7B" w:rsidTr="00CE42F9">
        <w:trPr>
          <w:trHeight w:val="64"/>
          <w:jc w:val="center"/>
        </w:trPr>
        <w:tc>
          <w:tcPr>
            <w:tcW w:w="669" w:type="dxa"/>
          </w:tcPr>
          <w:p w:rsidR="000B1719" w:rsidRPr="00455F7B" w:rsidRDefault="000B1719" w:rsidP="00CE42F9">
            <w:pPr>
              <w:pStyle w:val="aa"/>
              <w:ind w:firstLine="31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7871" w:type="dxa"/>
            <w:gridSpan w:val="5"/>
          </w:tcPr>
          <w:p w:rsidR="000B1719" w:rsidRPr="00455F7B" w:rsidRDefault="000B1719" w:rsidP="00CE42F9">
            <w:pPr>
              <w:pStyle w:val="aa"/>
              <w:ind w:firstLine="31"/>
              <w:jc w:val="left"/>
              <w:rPr>
                <w:rFonts w:cs="Times New Roman"/>
                <w:szCs w:val="24"/>
                <w:lang w:val="ru-RU"/>
              </w:rPr>
            </w:pPr>
            <w:r w:rsidRPr="00455F7B">
              <w:rPr>
                <w:rFonts w:cs="Times New Roman"/>
                <w:b/>
                <w:szCs w:val="24"/>
                <w:lang w:val="ru-RU"/>
              </w:rPr>
              <w:t>Бюджетный эффект от мероприятий по оптимизации расходов бюджета Сосновоборского городского округа</w:t>
            </w:r>
          </w:p>
        </w:tc>
        <w:tc>
          <w:tcPr>
            <w:tcW w:w="1502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bCs/>
                <w:color w:val="000000"/>
                <w:szCs w:val="24"/>
                <w:lang w:val="ru-RU"/>
              </w:rPr>
              <w:t>263 314,5</w:t>
            </w:r>
          </w:p>
        </w:tc>
        <w:tc>
          <w:tcPr>
            <w:tcW w:w="1369" w:type="dxa"/>
          </w:tcPr>
          <w:p w:rsidR="000B1719" w:rsidRPr="00455F7B" w:rsidRDefault="000B1719" w:rsidP="00CE42F9">
            <w:pPr>
              <w:pStyle w:val="aa"/>
              <w:ind w:left="-63" w:right="-60" w:firstLine="0"/>
              <w:jc w:val="center"/>
              <w:rPr>
                <w:rFonts w:cs="Times New Roman"/>
                <w:b/>
                <w:bCs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bCs/>
                <w:color w:val="000000"/>
                <w:szCs w:val="24"/>
                <w:lang w:val="ru-RU"/>
              </w:rPr>
              <w:t>147 912,2</w:t>
            </w:r>
          </w:p>
        </w:tc>
        <w:tc>
          <w:tcPr>
            <w:tcW w:w="1453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bCs/>
                <w:color w:val="000000"/>
                <w:szCs w:val="24"/>
                <w:lang w:val="ru-RU"/>
              </w:rPr>
              <w:t>55 938,8</w:t>
            </w:r>
          </w:p>
        </w:tc>
        <w:tc>
          <w:tcPr>
            <w:tcW w:w="1431" w:type="dxa"/>
          </w:tcPr>
          <w:p w:rsidR="000B1719" w:rsidRPr="00455F7B" w:rsidRDefault="000B1719" w:rsidP="00CE42F9">
            <w:pPr>
              <w:pStyle w:val="aa"/>
              <w:ind w:firstLine="0"/>
              <w:jc w:val="center"/>
              <w:rPr>
                <w:rFonts w:cs="Times New Roman"/>
                <w:b/>
                <w:bCs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bCs/>
                <w:color w:val="000000"/>
                <w:szCs w:val="24"/>
                <w:lang w:val="ru-RU"/>
              </w:rPr>
              <w:t>53 819,3</w:t>
            </w:r>
          </w:p>
        </w:tc>
        <w:tc>
          <w:tcPr>
            <w:tcW w:w="1249" w:type="dxa"/>
          </w:tcPr>
          <w:p w:rsidR="000B1719" w:rsidRPr="00455F7B" w:rsidRDefault="000B1719" w:rsidP="00CE42F9">
            <w:pPr>
              <w:pStyle w:val="aa"/>
              <w:ind w:left="-63" w:right="-89" w:firstLine="0"/>
              <w:jc w:val="center"/>
              <w:rPr>
                <w:rFonts w:cs="Times New Roman"/>
                <w:b/>
                <w:bCs/>
                <w:color w:val="000000"/>
                <w:szCs w:val="24"/>
                <w:lang w:val="ru-RU"/>
              </w:rPr>
            </w:pPr>
            <w:r w:rsidRPr="00455F7B">
              <w:rPr>
                <w:rFonts w:cs="Times New Roman"/>
                <w:b/>
                <w:bCs/>
                <w:color w:val="000000"/>
                <w:szCs w:val="24"/>
                <w:lang w:val="ru-RU"/>
              </w:rPr>
              <w:t>5 644,2</w:t>
            </w:r>
          </w:p>
        </w:tc>
      </w:tr>
    </w:tbl>
    <w:p w:rsidR="000B1719" w:rsidRPr="00E71C6E" w:rsidRDefault="000B1719" w:rsidP="000B1719">
      <w:pPr>
        <w:rPr>
          <w:sz w:val="24"/>
          <w:szCs w:val="24"/>
        </w:rPr>
      </w:pPr>
    </w:p>
    <w:p w:rsidR="000B1719" w:rsidRDefault="000B1719" w:rsidP="000B1719">
      <w:pPr>
        <w:jc w:val="both"/>
        <w:rPr>
          <w:sz w:val="24"/>
        </w:rPr>
      </w:pPr>
    </w:p>
    <w:sectPr w:rsidR="000B1719" w:rsidSect="00404439">
      <w:footerReference w:type="default" r:id="rId14"/>
      <w:footerReference w:type="first" r:id="rId15"/>
      <w:footnotePr>
        <w:numStart w:val="111"/>
      </w:footnotePr>
      <w:endnotePr>
        <w:numFmt w:val="decimal"/>
      </w:endnotePr>
      <w:pgSz w:w="16838" w:h="11906" w:orient="landscape"/>
      <w:pgMar w:top="1134" w:right="340" w:bottom="1134" w:left="851" w:header="709" w:footer="709" w:gutter="0"/>
      <w:paperSrc w:first="15" w:other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D7" w:rsidRDefault="00746FD7" w:rsidP="0049202D">
      <w:r>
        <w:separator/>
      </w:r>
    </w:p>
  </w:endnote>
  <w:endnote w:type="continuationSeparator" w:id="0">
    <w:p w:rsidR="00746FD7" w:rsidRDefault="00746FD7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F3" w:rsidRDefault="000B1719" w:rsidP="008765A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F7114D">
      <w:rPr>
        <w:noProof/>
      </w:rPr>
      <w:t>21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F3" w:rsidRPr="00606DD1" w:rsidRDefault="000B1719">
    <w:pPr>
      <w:pStyle w:val="a8"/>
      <w:jc w:val="center"/>
    </w:pPr>
    <w:r w:rsidRPr="00606DD1">
      <w:fldChar w:fldCharType="begin"/>
    </w:r>
    <w:r w:rsidRPr="00606DD1">
      <w:instrText>PAGE   \* MERGEFORMAT</w:instrText>
    </w:r>
    <w:r w:rsidRPr="00606DD1">
      <w:fldChar w:fldCharType="separate"/>
    </w:r>
    <w:r>
      <w:rPr>
        <w:noProof/>
      </w:rPr>
      <w:t>957</w:t>
    </w:r>
    <w:r w:rsidRPr="00606DD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D7" w:rsidRDefault="00746FD7" w:rsidP="0049202D">
      <w:r>
        <w:separator/>
      </w:r>
    </w:p>
  </w:footnote>
  <w:footnote w:type="continuationSeparator" w:id="0">
    <w:p w:rsidR="00746FD7" w:rsidRDefault="00746FD7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8BA" w:rsidRDefault="00AE58B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23076b60-0848-4ec0-8e3a-87ed1c77a13c"/>
  </w:docVars>
  <w:rsids>
    <w:rsidRoot w:val="00746FD7"/>
    <w:rsid w:val="000B1719"/>
    <w:rsid w:val="000E14F2"/>
    <w:rsid w:val="0013352F"/>
    <w:rsid w:val="001E0FEB"/>
    <w:rsid w:val="0049202D"/>
    <w:rsid w:val="00746FD7"/>
    <w:rsid w:val="00AE58BA"/>
    <w:rsid w:val="00D06B4F"/>
    <w:rsid w:val="00DD0169"/>
    <w:rsid w:val="00EC2AE1"/>
    <w:rsid w:val="00F7114D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2B8FFBE-30A8-4544-A9C2-D4F4BECD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EB"/>
  </w:style>
  <w:style w:type="paragraph" w:styleId="2">
    <w:name w:val="heading 2"/>
    <w:basedOn w:val="a"/>
    <w:next w:val="a"/>
    <w:qFormat/>
    <w:rsid w:val="001E0FE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E0FE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1E0FE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D7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ody Text Indent"/>
    <w:basedOn w:val="a"/>
    <w:link w:val="a5"/>
    <w:uiPriority w:val="99"/>
    <w:rsid w:val="00746FD7"/>
    <w:pPr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746FD7"/>
    <w:rPr>
      <w:sz w:val="24"/>
      <w:szCs w:val="24"/>
    </w:rPr>
  </w:style>
  <w:style w:type="paragraph" w:customStyle="1" w:styleId="ConsPlusTitle">
    <w:name w:val="ConsPlusTitle"/>
    <w:rsid w:val="00746F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6">
    <w:name w:val="header"/>
    <w:basedOn w:val="a"/>
    <w:link w:val="a7"/>
    <w:rsid w:val="00AE58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E58BA"/>
  </w:style>
  <w:style w:type="paragraph" w:styleId="a8">
    <w:name w:val="footer"/>
    <w:basedOn w:val="a"/>
    <w:link w:val="a9"/>
    <w:uiPriority w:val="99"/>
    <w:rsid w:val="00AE58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58BA"/>
  </w:style>
  <w:style w:type="paragraph" w:styleId="aa">
    <w:name w:val="No Spacing"/>
    <w:link w:val="ab"/>
    <w:uiPriority w:val="1"/>
    <w:unhideWhenUsed/>
    <w:qFormat/>
    <w:rsid w:val="000B1719"/>
    <w:pPr>
      <w:spacing w:after="120"/>
      <w:ind w:firstLine="720"/>
      <w:contextualSpacing/>
      <w:jc w:val="both"/>
    </w:pPr>
    <w:rPr>
      <w:rFonts w:eastAsiaTheme="minorHAnsi" w:cstheme="minorBidi"/>
      <w:color w:val="000000" w:themeColor="text1"/>
      <w:sz w:val="24"/>
      <w:szCs w:val="28"/>
      <w:lang w:val="en-US" w:eastAsia="en-US"/>
    </w:rPr>
  </w:style>
  <w:style w:type="paragraph" w:customStyle="1" w:styleId="ac">
    <w:name w:val="Название приложения"/>
    <w:basedOn w:val="a"/>
    <w:next w:val="a"/>
    <w:autoRedefine/>
    <w:qFormat/>
    <w:rsid w:val="000B1719"/>
    <w:pPr>
      <w:jc w:val="right"/>
    </w:pPr>
    <w:rPr>
      <w:rFonts w:eastAsiaTheme="minorHAnsi"/>
      <w:b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0B1719"/>
    <w:rPr>
      <w:rFonts w:eastAsiaTheme="minorHAnsi" w:cstheme="minorBidi"/>
      <w:color w:val="000000" w:themeColor="text1"/>
      <w:sz w:val="24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6abb74fe-17af-4271-b729-da69a8aec86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6abb74fe-17af-4271-b729-da69a8aec86b.dot</Template>
  <TotalTime>1</TotalTime>
  <Pages>22</Pages>
  <Words>3226</Words>
  <Characters>18390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21573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Общий отдел - Татищева Н.С.</dc:creator>
  <cp:keywords/>
  <cp:lastModifiedBy>  </cp:lastModifiedBy>
  <cp:revision>2</cp:revision>
  <cp:lastPrinted>2026-06-01T06:46:00Z</cp:lastPrinted>
  <dcterms:created xsi:type="dcterms:W3CDTF">2026-07-22T08:26:00Z</dcterms:created>
  <dcterms:modified xsi:type="dcterms:W3CDTF">2026-07-22T08:26:00Z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23076b60-0848-4ec0-8e3a-87ed1c77a13c</vt:lpwstr>
  </property>
</Properties>
</file>