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D5" w:rsidRPr="001726D5" w:rsidRDefault="001726D5" w:rsidP="00172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ЭЛЕКТРОНННОГО </w:t>
      </w:r>
      <w:r w:rsidRPr="0067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№ 47-СбГО-</w:t>
      </w:r>
      <w:r w:rsidR="00FE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298</w:t>
      </w:r>
      <w:r w:rsidRPr="0067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552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1726D5" w:rsidRPr="001726D5" w:rsidRDefault="001726D5" w:rsidP="00172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5" w:rsidRPr="001726D5" w:rsidRDefault="001726D5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муниципальным имуществом администрации муниципального образования Сосновоборский городской округ Ленинградской области сообщает о проведении электронного аукциона по продаже земельного участка площадью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  <w:r w:rsidR="00D5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2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52128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</w:t>
      </w:r>
      <w:r w:rsidR="00D521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D52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: 47:15:01100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4: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334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садоводства (далее – земельный участок).</w:t>
      </w:r>
    </w:p>
    <w:p w:rsidR="00492F21" w:rsidRPr="00492F21" w:rsidRDefault="00492F21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92F2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Торги провести в форме аукциона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2F2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открытого по форме подачи предложений о цене продажи земельного участка. Участниками аукциона по продаже земельного участка для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садоводства</w:t>
      </w:r>
      <w:r w:rsidRPr="00492F2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являются только граждане.</w:t>
      </w:r>
    </w:p>
    <w:p w:rsidR="00492F21" w:rsidRPr="00492F21" w:rsidRDefault="00492F21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92F2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Аукцион проводится в порядке, установленном статьями 39.11, 39.12 и 39.13 Земельного кодекса Российской Федерации.</w:t>
      </w:r>
    </w:p>
    <w:p w:rsidR="001726D5" w:rsidRPr="001726D5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</w:t>
      </w:r>
      <w:r w:rsidRPr="0059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на основании постановления администрации Сосновоборского городского округа от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254F" w:rsidRPr="0059661C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5254F" w:rsidRPr="005966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/2024 №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332</w:t>
      </w:r>
      <w:r w:rsidR="0055254F" w:rsidRPr="005966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по продаже земельного участка площадью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47:15:01100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4: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334</w:t>
      </w:r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Российская Федерация, Ленинградская область, </w:t>
      </w:r>
      <w:proofErr w:type="spellStart"/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Сосновоборский</w:t>
      </w:r>
      <w:proofErr w:type="spellEnd"/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 </w:t>
      </w:r>
      <w:proofErr w:type="spellStart"/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Сосновый</w:t>
      </w:r>
      <w:proofErr w:type="spellEnd"/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Бор, </w:t>
      </w:r>
      <w:r w:rsidR="0055254F" w:rsidRPr="00492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80 Сосновоборского лесничества, з/у</w:t>
      </w:r>
      <w:r w:rsidR="002A3191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5254F" w:rsidRPr="00492F21">
        <w:rPr>
          <w:rFonts w:ascii="Times New Roman" w:eastAsia="Times New Roman" w:hAnsi="Times New Roman" w:cs="Times New Roman"/>
          <w:sz w:val="24"/>
          <w:szCs w:val="24"/>
          <w:lang w:eastAsia="ru-RU"/>
        </w:rPr>
        <w:t>19, для ведения садоводства</w:t>
      </w:r>
      <w:r w:rsidR="0055254F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6D5" w:rsidRPr="001726D5" w:rsidRDefault="001726D5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FE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 апреля</w:t>
      </w: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52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10:00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(здесь и далее время московское) на электронной площадке «АО «Сбербанк-АСТ», utp.sberbank-ast.ru в информационно-телекоммуникационной сети «Интернет». </w:t>
      </w:r>
    </w:p>
    <w:p w:rsidR="001726D5" w:rsidRPr="001726D5" w:rsidRDefault="001726D5" w:rsidP="00FF6600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Оператор электронной площадки –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«Сбербанк – Автоматизированная система торгов» («АО «Сбербанк-АСТ»), utp.sberbank-ast.ru в информационно-телекоммуникационной сети «Интернет» (далее – Оператор электронной площадки).</w:t>
      </w:r>
    </w:p>
    <w:p w:rsidR="001726D5" w:rsidRPr="001726D5" w:rsidRDefault="001726D5" w:rsidP="00FF6600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адрес:</w:t>
      </w:r>
      <w:r w:rsidRPr="0017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726D5" w:rsidRPr="001726D5" w:rsidRDefault="001726D5" w:rsidP="00FF6600">
      <w:pPr>
        <w:shd w:val="clear" w:color="auto" w:fill="FFFFFF"/>
        <w:spacing w:after="0" w:line="240" w:lineRule="auto"/>
        <w:ind w:left="-142" w:firstLine="56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 </w:t>
      </w:r>
      <w:proofErr w:type="spellStart"/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комн. 2</w:t>
      </w:r>
    </w:p>
    <w:p w:rsidR="00B57ED2" w:rsidRDefault="001726D5" w:rsidP="00FF6600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Фактический (почтовый) адрес:</w:t>
      </w:r>
      <w:r w:rsidRPr="0017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726D5" w:rsidRPr="001726D5" w:rsidRDefault="001726D5" w:rsidP="00FF6600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119435, </w:t>
      </w:r>
      <w:proofErr w:type="spellStart"/>
      <w:r w:rsidRPr="0017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г.Москва</w:t>
      </w:r>
      <w:proofErr w:type="spellEnd"/>
      <w:r w:rsidRPr="0017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Большой Саввинский переулок, дом 12, стр. 9.</w:t>
      </w:r>
    </w:p>
    <w:p w:rsidR="001726D5" w:rsidRPr="001726D5" w:rsidRDefault="001726D5" w:rsidP="00FF6600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Круглосуточный телефон: +7 (800) 302-29-99, факс: +7(495) 787-29-98.</w:t>
      </w:r>
    </w:p>
    <w:p w:rsidR="001726D5" w:rsidRPr="001726D5" w:rsidRDefault="001726D5" w:rsidP="00FF6600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подачи заявок Оператору электронной площадки:</w:t>
      </w:r>
    </w:p>
    <w:p w:rsidR="001726D5" w:rsidRPr="009C5E58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приема заявок на участие в аукционе – </w:t>
      </w:r>
      <w:r w:rsid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04 февраля</w:t>
      </w:r>
      <w:r w:rsidRPr="009C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10:00 </w:t>
      </w:r>
    </w:p>
    <w:p w:rsidR="001726D5" w:rsidRPr="009C5E58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окончания подачи заявок на участие в аукционе – </w:t>
      </w:r>
      <w:r w:rsid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</w:t>
      </w:r>
      <w:r w:rsidRPr="009C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15:00.</w:t>
      </w:r>
    </w:p>
    <w:p w:rsidR="001726D5" w:rsidRPr="001726D5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рассмотрения заявок (определение участников) –  </w:t>
      </w:r>
      <w:r w:rsid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</w:t>
      </w:r>
      <w:r w:rsidRPr="009C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726D5" w:rsidRPr="001726D5" w:rsidRDefault="001726D5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администрация муниципального образования Сосновоборский городской округ Ленинградской области.</w:t>
      </w:r>
    </w:p>
    <w:p w:rsidR="001726D5" w:rsidRPr="001726D5" w:rsidRDefault="001726D5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Комитет по управлению муниципальным имуществом администрации муниципального образования Сосновоборский городской округ Ленинградской области.</w:t>
      </w:r>
    </w:p>
    <w:p w:rsidR="001726D5" w:rsidRPr="001726D5" w:rsidRDefault="001726D5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Специализированная организация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осуществляющая от имени Организатора аукциона переданные ей функции по п</w:t>
      </w:r>
      <w:r w:rsidR="00B4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одготовке и проведению аукциона </w:t>
      </w:r>
      <w:r w:rsidR="00B40A92" w:rsidRPr="00B4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казённое учреждение «Сосновоборский фонд имущества» (далее – МКУ «СФИ»).</w:t>
      </w:r>
    </w:p>
    <w:p w:rsidR="001726D5" w:rsidRPr="001726D5" w:rsidRDefault="001726D5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продажа земельного участка площадью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номер: 47:15:01100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4: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334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разрешенного использования: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садоводства.</w:t>
      </w:r>
    </w:p>
    <w:p w:rsidR="001726D5" w:rsidRPr="00FE71C0" w:rsidRDefault="001726D5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40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ачальная цена предмета </w:t>
      </w:r>
      <w:r w:rsidR="00B40A92" w:rsidRPr="00FE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аукциона:</w:t>
      </w:r>
      <w:r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1C0"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490 000</w:t>
      </w:r>
      <w:r w:rsidRPr="00FE71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FE71C0" w:rsidRPr="00FE71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четыреста девяност</w:t>
      </w:r>
      <w:r w:rsidR="00106E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FE71C0" w:rsidRPr="00FE71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тысяч</w:t>
      </w:r>
      <w:r w:rsidRPr="00FE71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рублей 00 копеек </w:t>
      </w:r>
      <w:r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(отчет № </w:t>
      </w:r>
      <w:r w:rsidR="00FE71C0"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262</w:t>
      </w:r>
      <w:r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FE71C0"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E71C0"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23.12</w:t>
      </w:r>
      <w:r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E71C0"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оценке рыночной стоимости объекта недвижимости - земельного участка).</w:t>
      </w:r>
    </w:p>
    <w:p w:rsidR="001726D5" w:rsidRPr="00FE71C0" w:rsidRDefault="001726D5" w:rsidP="00FF6600">
      <w:pPr>
        <w:tabs>
          <w:tab w:val="left" w:pos="709"/>
          <w:tab w:val="left" w:pos="993"/>
          <w:tab w:val="left" w:pos="144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FE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E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предмета аукциона): </w:t>
      </w:r>
      <w:r w:rsidR="00FE71C0"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14 700</w:t>
      </w:r>
      <w:r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71C0"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четырнадцать</w:t>
      </w:r>
      <w:r w:rsidR="00677F44"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семьсот</w:t>
      </w:r>
      <w:r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 и не изменяется в течение всего аукциона.</w:t>
      </w:r>
    </w:p>
    <w:p w:rsidR="001726D5" w:rsidRPr="00B40A92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Задаток для участия в аукционе: </w:t>
      </w:r>
      <w:r w:rsidR="00FE71C0" w:rsidRPr="00FE71C0">
        <w:rPr>
          <w:rFonts w:ascii="Times New Roman" w:eastAsia="Times New Roman" w:hAnsi="Times New Roman" w:cs="Times New Roman"/>
          <w:sz w:val="24"/>
          <w:szCs w:val="24"/>
          <w:lang w:eastAsia="ru-RU"/>
        </w:rPr>
        <w:t>98 000</w:t>
      </w:r>
      <w:r w:rsidRPr="00FE71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FE71C0" w:rsidRPr="00FE71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девяност</w:t>
      </w:r>
      <w:r w:rsidR="00106E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677F44" w:rsidRPr="00FE71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восемь</w:t>
      </w:r>
      <w:r w:rsidRPr="00FE71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тысяч) рублей 00 копеек.</w:t>
      </w:r>
      <w:r w:rsidRPr="00B4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6D5" w:rsidRPr="00CF6111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размещения </w:t>
      </w:r>
      <w:r w:rsidR="00B86EF8"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звещения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Оператором электронной площадки не взимается плата за участие в электронном аукционе с победителя электронного аукциона или иного лица, с которым в соответствии с действующим законодательством заключается договор купли-продажи земельного участка в электронной форме (далее – Договор).</w:t>
      </w:r>
    </w:p>
    <w:p w:rsidR="001726D5" w:rsidRPr="001726D5" w:rsidRDefault="001726D5" w:rsidP="00FF6600">
      <w:pPr>
        <w:tabs>
          <w:tab w:val="left" w:pos="709"/>
          <w:tab w:val="left" w:pos="993"/>
          <w:tab w:val="left" w:pos="144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59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</w:t>
      </w: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частка</w:t>
      </w:r>
      <w:r w:rsidR="00F72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26D5" w:rsidRPr="001726D5" w:rsidRDefault="001726D5" w:rsidP="00FF6600">
      <w:pPr>
        <w:numPr>
          <w:ilvl w:val="0"/>
          <w:numId w:val="6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адрес: </w:t>
      </w:r>
      <w:r w:rsid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</w:t>
      </w:r>
      <w:r w:rsidR="00F7281A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281A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Сосновоборский</w:t>
      </w:r>
      <w:proofErr w:type="spellEnd"/>
      <w:r w:rsidR="00F7281A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округ,</w:t>
      </w:r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Сосновый</w:t>
      </w:r>
      <w:proofErr w:type="spellEnd"/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Бор,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80 Сосновоборского лесничества</w:t>
      </w:r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281A"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0A92" w:rsidRDefault="001726D5" w:rsidP="00FF6600">
      <w:pPr>
        <w:numPr>
          <w:ilvl w:val="0"/>
          <w:numId w:val="6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47:15:01100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4: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334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26D5" w:rsidRPr="00B40A92" w:rsidRDefault="00B40A92" w:rsidP="00FF6600">
      <w:pPr>
        <w:numPr>
          <w:ilvl w:val="0"/>
          <w:numId w:val="6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 w:rsidR="001726D5" w:rsidRPr="00B4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  <w:r w:rsidR="001726D5" w:rsidRPr="00B4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м.;</w:t>
      </w:r>
    </w:p>
    <w:p w:rsidR="001726D5" w:rsidRPr="001726D5" w:rsidRDefault="001726D5" w:rsidP="00FF6600">
      <w:pPr>
        <w:numPr>
          <w:ilvl w:val="0"/>
          <w:numId w:val="6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правообладатель: </w:t>
      </w:r>
      <w:r w:rsidR="005966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собственность до разграничения государственной собственности на землю;</w:t>
      </w:r>
    </w:p>
    <w:p w:rsidR="001726D5" w:rsidRPr="001726D5" w:rsidRDefault="001726D5" w:rsidP="00FF6600">
      <w:pPr>
        <w:numPr>
          <w:ilvl w:val="0"/>
          <w:numId w:val="6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населённых пунктов;</w:t>
      </w:r>
    </w:p>
    <w:p w:rsidR="001726D5" w:rsidRPr="001726D5" w:rsidRDefault="00B40A92" w:rsidP="00FF6600">
      <w:pPr>
        <w:numPr>
          <w:ilvl w:val="0"/>
          <w:numId w:val="6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разрешённого использования:</w:t>
      </w:r>
      <w:r w:rsidR="001726D5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="001726D5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садоводства.</w:t>
      </w:r>
    </w:p>
    <w:p w:rsidR="001726D5" w:rsidRPr="007F1184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расположен в территориальной зоне Ж-5 – зона садоводств. </w:t>
      </w:r>
    </w:p>
    <w:p w:rsidR="001726D5" w:rsidRPr="007F1184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разрешенного использования земельного участка в соответствии со ст.27.2  Правил землепользования и застройки муниципального образования Сосновоборский городской округ</w:t>
      </w:r>
      <w:r w:rsidR="00B4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Pr="007F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приказом </w:t>
      </w:r>
      <w:r w:rsidR="00677F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F1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архитектуре и градостроительству Ленинградской области от 03.09.2019 № 59</w:t>
      </w:r>
      <w:r w:rsidR="00B4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Pr="007F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0A92" w:rsidRPr="00B40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садоводства – код 13.2; коммунальное обслуживание - код 3.1; предоставление коммунальных услуг – код 3.1.1; административные здания организаций, обеспечивающих предоставление коммунальных услуг – код 3.1.2; историко-культурная деятельность – код 9.3; земельные участки (территории) общего пользования – код 12.0; земельные участки общего назначения – код 13.0.</w:t>
      </w:r>
    </w:p>
    <w:p w:rsidR="001726D5" w:rsidRPr="001726D5" w:rsidRDefault="001726D5" w:rsidP="00B57ED2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регламент территориальной зоны Ж-5 в части предельных (минимальных и (или) максимальных) размеров земельных участков и предельные параметры разрешенного строительства, реконструкции объектов капитального стр</w:t>
      </w:r>
      <w:r w:rsidR="00782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оительства на земельном участке указан в П</w:t>
      </w:r>
      <w:r w:rsidRPr="007F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№1 к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звещению.</w:t>
      </w:r>
    </w:p>
    <w:p w:rsidR="001726D5" w:rsidRPr="001726D5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ограничениях и</w:t>
      </w:r>
      <w:r w:rsidR="00D52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земельного участка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1726D5" w:rsidRPr="001726D5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="0078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свободен и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обременен правами третьих лиц.</w:t>
      </w:r>
    </w:p>
    <w:p w:rsidR="001726D5" w:rsidRPr="001726D5" w:rsidRDefault="001726D5" w:rsidP="00FF66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содержится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письмах </w:t>
      </w:r>
      <w:proofErr w:type="spellStart"/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с которыми можно ознакомиться на </w:t>
      </w:r>
      <w:r w:rsidRPr="001726D5">
        <w:rPr>
          <w:rFonts w:ascii="Times New Roman" w:eastAsia="Times New Roman" w:hAnsi="Times New Roman" w:cs="Times New Roman"/>
          <w:sz w:val="24"/>
          <w:szCs w:val="20"/>
          <w:lang w:eastAsia="ru-RU"/>
        </w:rPr>
        <w:t>официальном сайте торгов (</w:t>
      </w:r>
      <w:hyperlink r:id="rId6" w:history="1">
        <w:r w:rsidRPr="001726D5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www.torgi.gov.ru</w:t>
        </w:r>
      </w:hyperlink>
      <w:r w:rsidRPr="001726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</w:t>
      </w:r>
      <w:r w:rsidRPr="001726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официальном сайте Сосновоборского городского округа (</w:t>
      </w:r>
      <w:hyperlink r:id="rId7" w:history="1">
        <w:r w:rsidRPr="001726D5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www.sbor.ru</w:t>
        </w:r>
      </w:hyperlink>
      <w:r w:rsidRPr="001726D5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172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5254F" w:rsidRPr="0055254F" w:rsidRDefault="0055254F" w:rsidP="00FF66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 </w:t>
      </w:r>
      <w:r w:rsidRPr="0055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филиала АО «ЛОЭСК» «Западные электрические сети» исх. № 08/02/270 от 24.09.2024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54F" w:rsidRPr="0055254F" w:rsidRDefault="0055254F" w:rsidP="00FF66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 СМУП «ТСП» исх. № 02-08-24/200 от 20.09.2024;</w:t>
      </w:r>
    </w:p>
    <w:p w:rsidR="0055254F" w:rsidRPr="0055254F" w:rsidRDefault="0055254F" w:rsidP="00FF66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 ООО «Водоканал» исх. № 1021-05 от 27.09.2024;</w:t>
      </w:r>
    </w:p>
    <w:p w:rsidR="0055254F" w:rsidRPr="0055254F" w:rsidRDefault="0055254F" w:rsidP="00FF66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 филиала АО «Газпром газораспределение Ленинградская область» 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исх. № 03-/1651 от 24.10.2024;</w:t>
      </w:r>
    </w:p>
    <w:p w:rsidR="0055254F" w:rsidRDefault="0055254F" w:rsidP="00FF66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 ПАО «Ростелеком» исх. № 02/05/19223/24 от 27.09.2024. </w:t>
      </w:r>
    </w:p>
    <w:p w:rsidR="00FF6600" w:rsidRPr="0055254F" w:rsidRDefault="00FF6600" w:rsidP="00FF66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5" w:rsidRPr="001726D5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</w:rPr>
        <w:t>1. Порядок оформления участия в аукционе</w:t>
      </w:r>
    </w:p>
    <w:p w:rsidR="00C90B27" w:rsidRPr="00CC709E" w:rsidRDefault="00C90B27" w:rsidP="00FF6600">
      <w:pPr>
        <w:suppressAutoHyphens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площадке. </w:t>
      </w:r>
    </w:p>
    <w:p w:rsidR="00C90B27" w:rsidRPr="00CC709E" w:rsidRDefault="00C90B27" w:rsidP="00FF6600">
      <w:pPr>
        <w:suppressAutoHyphens/>
        <w:autoSpaceDE w:val="0"/>
        <w:autoSpaceDN w:val="0"/>
        <w:adjustRightInd w:val="0"/>
        <w:spacing w:after="0" w:line="240" w:lineRule="auto"/>
        <w:ind w:left="-142" w:firstLine="56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Регистрация на электронной площадке осуществляется без взимания платы. </w:t>
      </w:r>
    </w:p>
    <w:p w:rsidR="00C90B27" w:rsidRPr="00CC709E" w:rsidRDefault="00C90B27" w:rsidP="00FF6600">
      <w:pPr>
        <w:suppressAutoHyphens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</w:t>
      </w:r>
    </w:p>
    <w:p w:rsidR="00FF6600" w:rsidRPr="00B57ED2" w:rsidRDefault="00C90B27" w:rsidP="00FF66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Arial CYR"/>
          <w:bCs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Arial CYR"/>
          <w:bCs/>
          <w:sz w:val="24"/>
          <w:szCs w:val="24"/>
          <w:lang w:eastAsia="ru-RU"/>
        </w:rPr>
        <w:t>Регистрация на электронной площадке проводится в соответствии с Ре</w:t>
      </w:r>
      <w:r w:rsidR="00FF6600">
        <w:rPr>
          <w:rFonts w:ascii="Times New Roman" w:eastAsia="Times New Roman" w:hAnsi="Times New Roman" w:cs="Arial CYR"/>
          <w:bCs/>
          <w:sz w:val="24"/>
          <w:szCs w:val="24"/>
          <w:lang w:eastAsia="ru-RU"/>
        </w:rPr>
        <w:t xml:space="preserve">гламентом электронной </w:t>
      </w:r>
      <w:r w:rsidR="00FF6600" w:rsidRPr="00B57ED2">
        <w:rPr>
          <w:rFonts w:ascii="Times New Roman" w:eastAsia="Times New Roman" w:hAnsi="Times New Roman" w:cs="Arial CYR"/>
          <w:bCs/>
          <w:sz w:val="24"/>
          <w:szCs w:val="24"/>
          <w:lang w:eastAsia="ru-RU"/>
        </w:rPr>
        <w:t>площадки.</w:t>
      </w:r>
    </w:p>
    <w:p w:rsidR="00C90B27" w:rsidRPr="00FF6600" w:rsidRDefault="00C90B27" w:rsidP="00FF66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Arial CYR"/>
          <w:bCs/>
          <w:sz w:val="24"/>
          <w:szCs w:val="24"/>
          <w:lang w:eastAsia="ru-RU"/>
        </w:rPr>
      </w:pPr>
      <w:r w:rsidRPr="00B57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Заявка (предусмотренная пунктом 6 статьи 39.13 Земельного кодекса Российской Федерации)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участие в аукционе с указанием банковских реквизитов счета для возврата задатка 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путем заполнения ее </w:t>
      </w:r>
      <w:hyperlink r:id="rId8" w:history="1">
        <w:r w:rsidRPr="00B57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электронной формы</w:t>
        </w:r>
      </w:hyperlink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пунктам с приложением указанных в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на сайте Оператора электронной площадки. </w:t>
      </w:r>
    </w:p>
    <w:p w:rsidR="00C90B27" w:rsidRPr="00B57ED2" w:rsidRDefault="00C90B27" w:rsidP="00FF6600">
      <w:pPr>
        <w:widowControl w:val="0"/>
        <w:autoSpaceDE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Подавая заявку об участии в аукционе в электронной форме на право заключения Договора, </w:t>
      </w:r>
      <w:r w:rsidRPr="00200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Претендент обязуется обеспечить поступление </w:t>
      </w:r>
      <w:r w:rsidRPr="00B5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задатка в размере </w:t>
      </w:r>
      <w:r w:rsidR="00FE71C0" w:rsidRPr="00B5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00AD3" w:rsidRPr="00B5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8 000</w:t>
      </w:r>
      <w:r w:rsidRPr="00B57E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</w:t>
      </w:r>
      <w:r w:rsidR="00FE71C0" w:rsidRPr="00B57E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девяност</w:t>
      </w:r>
      <w:r w:rsidR="00106E44" w:rsidRPr="00B57E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="00200AD3" w:rsidRPr="00B57E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вос</w:t>
      </w:r>
      <w:r w:rsidR="00FE71C0" w:rsidRPr="00B57E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емь</w:t>
      </w:r>
      <w:r w:rsidR="007976D7" w:rsidRPr="00B57E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тысяч</w:t>
      </w:r>
      <w:r w:rsidRPr="00B57E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 рублей 00 копеек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и в порядке, установленные в </w:t>
      </w:r>
      <w:r w:rsidR="0075169A"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звещении о проведении аукциона в электронной форме, и в соответствии с </w:t>
      </w:r>
      <w:hyperlink r:id="rId9" w:history="1">
        <w:r w:rsidRPr="00B57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Регламентом</w:t>
        </w:r>
      </w:hyperlink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3DF"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10" w:history="1">
        <w:r w:rsidR="004223DF" w:rsidRPr="00B57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Инструкциями</w:t>
        </w:r>
      </w:hyperlink>
      <w:r w:rsidR="004223DF"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площадки, размещенными на электронной площадке (далее - Регламент и Инструкции).</w:t>
      </w:r>
    </w:p>
    <w:p w:rsidR="00C90B27" w:rsidRPr="00B57ED2" w:rsidRDefault="00C90B27" w:rsidP="00FF6600">
      <w:pPr>
        <w:widowControl w:val="0"/>
        <w:autoSpaceDE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обязуется соблюдать условия и порядок проведения аукциона в электронной форме, содержащиеся в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звещении, Регламенте и Инструкциях.</w:t>
      </w:r>
    </w:p>
    <w:p w:rsidR="00C90B27" w:rsidRPr="00B57ED2" w:rsidRDefault="00C90B27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 случае признания Победителем аукциона в электронной форме, а также в иных случаях, предусмотренных пунктами 13 и 14 статьи 39.12 Земельного кодекса Р</w:t>
      </w:r>
      <w:r w:rsidR="0046738C"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Федерации, обязуется 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земельный участок в соответствии с видом разрешенного использования, указанным в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Из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вещении и Договоре. </w:t>
      </w:r>
    </w:p>
    <w:p w:rsidR="00C90B27" w:rsidRPr="00B57ED2" w:rsidRDefault="00C90B27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согласен и принимает все условия, требования, положения </w:t>
      </w:r>
      <w:r w:rsidR="00ED0BCB"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звещения, проекта Договора, Регламента и Инструкций, и они ему понятны. Претенденту известны сведения (в том числе размещённые для открытого просмотра в информационно-телекоммуникационной сети «Интернет») о земельном участке, Претендент надлежащим образом ознакомился с реальным состоянием земельного участка, </w:t>
      </w:r>
      <w:r w:rsidRPr="00B5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 имеет претензий к ним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B27" w:rsidRPr="00B57ED2" w:rsidRDefault="00C90B27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осведомлен и согласен с тем, что Уполномоченный орган/Организатор аукциона не несут ответственности за ущерб, который может быть причинен Претенденту отменой аукциона в электронной форме, внесением изменений в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</w:t>
      </w:r>
      <w:r w:rsidR="00ED0BCB"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звещение 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публикации информации об отмене аукциона в электронной форме, внесении изменений в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</w:t>
      </w:r>
      <w:r w:rsidR="00ED0BCB"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звещение 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8319E" w:rsidRPr="00B57ED2">
        <w:rPr>
          <w:rFonts w:ascii="Times New Roman" w:eastAsia="Times New Roman" w:hAnsi="Times New Roman" w:cs="Times New Roman"/>
          <w:sz w:val="24"/>
          <w:szCs w:val="20"/>
          <w:lang w:eastAsia="ru-RU"/>
        </w:rPr>
        <w:t>официальном сайте торгов (</w:t>
      </w:r>
      <w:hyperlink r:id="rId11" w:history="1">
        <w:r w:rsidR="00A8319E" w:rsidRPr="00B57ED2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www.torgi.gov.ru</w:t>
        </w:r>
      </w:hyperlink>
      <w:r w:rsidR="00A8319E" w:rsidRPr="00B57E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Pr="00B57E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 сайте Оператора электронной площадки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00" w:rsidRDefault="00C90B27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аукциона в электронной форме, порядок и условия заключения Договора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 сроки и порядке являются акцептом оферты в соответствии со статьей 438 Гражданског</w:t>
      </w:r>
      <w:r w:rsidR="00FF6600"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</w:t>
      </w:r>
      <w:r w:rsidR="00FF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FF6600" w:rsidRPr="00FF6600" w:rsidRDefault="00FF6600" w:rsidP="00A8319E">
      <w:pPr>
        <w:tabs>
          <w:tab w:val="left" w:pos="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 в случаях, установленных в любой момент по соглашению сторон. Претендент подтверждает, что ознакомлен с положениями Федерального закона от 27.07.2006 № 152-ФЗ, права и обязанности в области защиты персональных данных ему известны.</w:t>
      </w:r>
    </w:p>
    <w:p w:rsidR="00782EDF" w:rsidRPr="00F7281A" w:rsidRDefault="00C90B27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а также прилагаемые к ней документы подписываются усиленной квалифицированной электронной подписью Претендента и направляются Оператору электронной площадки.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Документы, представляемые для участия в </w:t>
      </w:r>
      <w:r w:rsidR="004673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CC70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укционе: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Заявкой на участие в </w:t>
      </w:r>
      <w:r w:rsidR="0046738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укционе, проводимом в электронной форме, Претенденты представляют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B57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реквизитов)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</w:t>
      </w:r>
      <w:proofErr w:type="spellStart"/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. 2-4 п. 1 ст. 39.12 Земельного кодекса Р</w:t>
      </w:r>
      <w:r w:rsidR="00467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заверенных 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 квалифицированной электронной подписью заявителя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</w:t>
      </w:r>
      <w:r w:rsidR="00B57ED2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 и настоящего И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звещения.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Заявки, представле</w:t>
      </w:r>
      <w:r w:rsidR="0046738C">
        <w:rPr>
          <w:rFonts w:ascii="Times New Roman" w:eastAsia="Calibri" w:hAnsi="Times New Roman" w:cs="Times New Roman"/>
          <w:sz w:val="24"/>
          <w:szCs w:val="24"/>
          <w:lang w:eastAsia="ru-RU"/>
        </w:rPr>
        <w:t>нные без необходимых документов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поданные лицом, не уполномоченным Претендентом на осуществление таких действий, не принимаются.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Заявки подаются одновременно с полным комплектом документов, установлен</w:t>
      </w:r>
      <w:r w:rsidR="00B57ED2">
        <w:rPr>
          <w:rFonts w:ascii="Times New Roman" w:eastAsia="Calibri" w:hAnsi="Times New Roman" w:cs="Times New Roman"/>
          <w:sz w:val="24"/>
          <w:szCs w:val="24"/>
          <w:lang w:eastAsia="ru-RU"/>
        </w:rPr>
        <w:t>ным в настоящем И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звещении.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Участниками, Оператором электронной площадки, Уполномоченным органом и Организатором аукциона осуществляется через электронную площадку в форме электронных документов либо электронных образов документов, заверенных электронной подписью Уполномоченного органом, Организатора аукциона, Претендента или Участника либо лица, имеющего право действовать от имени соответственно Уполномоченного органа, Организатора </w:t>
      </w:r>
      <w:r w:rsidR="0046738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укциона, Претендента или Участника.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Уполномоченного органа,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 до</w:t>
      </w:r>
      <w:r w:rsidR="0046738C">
        <w:rPr>
          <w:rFonts w:ascii="Times New Roman" w:eastAsia="Calibri" w:hAnsi="Times New Roman" w:cs="Times New Roman"/>
          <w:sz w:val="24"/>
          <w:szCs w:val="24"/>
          <w:lang w:eastAsia="ru-RU"/>
        </w:rPr>
        <w:t>казать свое право на участие в а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укционе лежит на Претенденте.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Иностранные физические лица допускаются к участию в </w:t>
      </w:r>
      <w:r w:rsidR="0046738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укционе с соблюдением требований, установленных законодательством Российской Федерации.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успешного принятия заявки Оператор электронной площадки направляет в Личный кабинет Претендента уведомление о регистрации заявки.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Личный кабинет 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 аукциона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, о чем Претенденту направляется соответствующее уведомление.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Изменение заявки допускается только путем подачи Претендентом новой заявки в установленные в Извещении сроки о проведении </w:t>
      </w:r>
      <w:r w:rsidR="0046738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укциона, при этом первоначальная заявка должна быть отозвана.</w:t>
      </w:r>
    </w:p>
    <w:p w:rsidR="00C90B27" w:rsidRPr="00CC709E" w:rsidRDefault="00C90B27" w:rsidP="00FF6600">
      <w:pPr>
        <w:tabs>
          <w:tab w:val="left" w:pos="6300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обеспечивает поступление задатка </w:t>
      </w:r>
      <w:r w:rsidRPr="00CC7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20 % начальной цены предмета аукциона </w:t>
      </w:r>
      <w:hyperlink r:id="rId12" w:history="1">
        <w:r w:rsidRPr="00CC70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счет</w:t>
        </w:r>
      </w:hyperlink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открытый на электронной площадке </w:t>
      </w:r>
      <w:r w:rsidRPr="00CC7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9C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</w:t>
      </w:r>
      <w:r w:rsidR="00106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апреля</w:t>
      </w:r>
      <w:r w:rsidRPr="009C5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F6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C7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часов 00 минут.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 Сумма задатка, внесенная победителем аукциона, засчитывается в счет оплаты по Договору, заключенному с победителем аукциона или иным лицом, указанным в пунктах 13, 14 и 20 статьи 39.12 Земельного кодекса Российской Федерации.</w:t>
      </w:r>
    </w:p>
    <w:p w:rsidR="00C90B27" w:rsidRPr="00CC709E" w:rsidRDefault="00C90B27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 третьим лицом, не зачисляются на счет такого заявителя на универсальной торговой площадке.</w:t>
      </w:r>
    </w:p>
    <w:p w:rsidR="00C90B27" w:rsidRPr="00CC709E" w:rsidRDefault="00C90B27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денежных средств Претендента, Участника, кроме П</w:t>
      </w:r>
      <w:r w:rsidR="00467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обедителя/ед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инственного участника аукциона, </w:t>
      </w:r>
      <w:r w:rsidRPr="00CC709E">
        <w:rPr>
          <w:rFonts w:ascii="Times New Roman" w:eastAsia="Times New Roman" w:hAnsi="Times New Roman" w:cs="Arial CYR"/>
          <w:bCs/>
          <w:sz w:val="24"/>
          <w:szCs w:val="24"/>
          <w:lang w:eastAsia="ru-RU"/>
        </w:rPr>
        <w:t>Оператор электронной площадки прекращает блокирование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CC709E">
        <w:rPr>
          <w:rFonts w:ascii="Times New Roman" w:eastAsia="Times New Roman" w:hAnsi="Times New Roman" w:cs="Arial CYR"/>
          <w:bCs/>
          <w:sz w:val="24"/>
          <w:szCs w:val="24"/>
          <w:lang w:eastAsia="ru-RU"/>
        </w:rPr>
        <w:t xml:space="preserve">Регламентом электронной площадки. </w:t>
      </w:r>
    </w:p>
    <w:p w:rsidR="00C90B27" w:rsidRPr="00CC709E" w:rsidRDefault="00C90B27" w:rsidP="00FF6600">
      <w:pPr>
        <w:tabs>
          <w:tab w:val="left" w:pos="0"/>
          <w:tab w:val="left" w:pos="709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определения участников аукциона, указанный в 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И</w:t>
      </w:r>
      <w:r w:rsidRP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звещении, Оператор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через Личный кабинет Организатора аукциона обеспечивает доступ Организатору аукциона к поданным Претендентами заявкам и документам, а также к журналу приема заявок.</w:t>
      </w:r>
    </w:p>
    <w:p w:rsidR="00C90B27" w:rsidRPr="00CC709E" w:rsidRDefault="00C90B27" w:rsidP="00FF6600">
      <w:pPr>
        <w:tabs>
          <w:tab w:val="left" w:pos="0"/>
          <w:tab w:val="left" w:pos="709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торгов в отношении муниципального имущества и земельных участков (далее - аукционная комиссия) рассматривает заявки и документы Претендентов, факт поступления задатков.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и размещается на универсальной торговой площадке.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Претендент приобретает статус участника аукциона с момента подписания протокола рассмотрения заявок на участие в аукционе.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 электронной площадки не позднее следующего рабочего дня после дня размещения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 Оператора электронной площадки, </w:t>
      </w:r>
      <w:r w:rsidR="00C6559C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торгов (</w:t>
      </w:r>
      <w:hyperlink r:id="rId13" w:history="1">
        <w:r w:rsidR="00C6559C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6559C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6559C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proofErr w:type="spellEnd"/>
        <w:r w:rsidR="00C6559C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6559C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="00C6559C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6559C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6559C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="0046738C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319E" w:rsidRPr="00B57ED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A83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официальном сайте 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«Интернет» в срок не позднее рабочего дня, следующего за днем принятия указанного решения.</w:t>
      </w:r>
    </w:p>
    <w:p w:rsidR="00C90B27" w:rsidRPr="00CC709E" w:rsidRDefault="00C90B27" w:rsidP="00FF6600">
      <w:pPr>
        <w:tabs>
          <w:tab w:val="left" w:pos="0"/>
          <w:tab w:val="left" w:pos="709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рассмотрения заявок на участие в аукционе является основанием для заключения (подписания) </w:t>
      </w:r>
      <w:r w:rsidR="006A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лицом, подавшим единственную заявку на участие в аукционе/Претендентом, признанным е</w:t>
      </w:r>
      <w:r w:rsidR="006A0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динственным участником аукциона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 участию в аукционе в следующих случаях, если:</w:t>
      </w:r>
    </w:p>
    <w:p w:rsidR="00C90B27" w:rsidRPr="00CC709E" w:rsidRDefault="00C90B27" w:rsidP="00FF660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необходимые для участия в аукционе документы или представлены недостоверные сведения;</w:t>
      </w:r>
    </w:p>
    <w:p w:rsidR="00C90B27" w:rsidRPr="00CC709E" w:rsidRDefault="00C90B27" w:rsidP="00FF660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поступили задатки на дату рассмотрения заявок на участие в аукционе;</w:t>
      </w:r>
    </w:p>
    <w:p w:rsidR="00C90B27" w:rsidRPr="00CC709E" w:rsidRDefault="00C90B27" w:rsidP="00FF6600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подана заявка на участие в аукционе лицом, которое в соответствии с требованием законодательства не имеет права быть участником </w:t>
      </w: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аукциона</w:t>
      </w:r>
      <w:r w:rsidRPr="00CC709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726D5" w:rsidRPr="001726D5" w:rsidRDefault="00C90B27" w:rsidP="00FF6600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реестре недобросовестных участников аукциона, ведение которого осуществляется Федеральной антимонопольной службой Российской Федерации, имеются сведения о заявителе.</w:t>
      </w:r>
    </w:p>
    <w:p w:rsidR="001726D5" w:rsidRPr="001726D5" w:rsidRDefault="001726D5" w:rsidP="00FF6600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проведения аукциона</w:t>
      </w:r>
    </w:p>
    <w:p w:rsidR="001726D5" w:rsidRPr="007B691C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</w:rPr>
        <w:t xml:space="preserve">Процедура аукциона проводится в день и время, указанные в настоящем </w:t>
      </w:r>
      <w:r w:rsidR="00B57ED2">
        <w:rPr>
          <w:rFonts w:ascii="Times New Roman" w:eastAsia="Calibri" w:hAnsi="Times New Roman" w:cs="Times New Roman"/>
          <w:sz w:val="24"/>
          <w:szCs w:val="24"/>
        </w:rPr>
        <w:t>И</w:t>
      </w:r>
      <w:r w:rsidRPr="001726D5">
        <w:rPr>
          <w:rFonts w:ascii="Times New Roman" w:eastAsia="Calibri" w:hAnsi="Times New Roman" w:cs="Times New Roman"/>
          <w:sz w:val="24"/>
          <w:szCs w:val="24"/>
        </w:rPr>
        <w:t xml:space="preserve">звещении о проведении аукциона, путем последовательного повышения участниками начальной цены предмета аукциона на величину, равную либо кратную величине «шага </w:t>
      </w:r>
      <w:r w:rsidRPr="007B691C">
        <w:rPr>
          <w:rFonts w:ascii="Times New Roman" w:eastAsia="Calibri" w:hAnsi="Times New Roman" w:cs="Times New Roman"/>
          <w:sz w:val="24"/>
          <w:szCs w:val="24"/>
        </w:rPr>
        <w:t>аукциона».</w:t>
      </w:r>
    </w:p>
    <w:p w:rsidR="001726D5" w:rsidRPr="001726D5" w:rsidRDefault="001726D5" w:rsidP="00FF6600">
      <w:pPr>
        <w:spacing w:after="0" w:line="240" w:lineRule="auto"/>
        <w:ind w:left="-142" w:firstLine="568"/>
        <w:jc w:val="both"/>
        <w:rPr>
          <w:rFonts w:ascii="Calibri" w:eastAsia="Calibri" w:hAnsi="Calibri" w:cs="Times New Roman"/>
        </w:rPr>
      </w:pPr>
      <w:r w:rsidRPr="007B691C">
        <w:rPr>
          <w:rFonts w:ascii="Times New Roman" w:eastAsia="Calibri" w:hAnsi="Times New Roman" w:cs="Times New Roman"/>
          <w:sz w:val="24"/>
          <w:szCs w:val="24"/>
        </w:rPr>
        <w:t xml:space="preserve">«Шаг аукциона» установлен в фиксированной </w:t>
      </w:r>
      <w:r w:rsidRPr="00106E44">
        <w:rPr>
          <w:rFonts w:ascii="Times New Roman" w:eastAsia="Calibri" w:hAnsi="Times New Roman" w:cs="Times New Roman"/>
          <w:sz w:val="24"/>
          <w:szCs w:val="24"/>
        </w:rPr>
        <w:t>сумме</w:t>
      </w:r>
      <w:r w:rsidRPr="0010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E44" w:rsidRPr="00106E4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B691C" w:rsidRPr="0010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700</w:t>
      </w:r>
      <w:r w:rsidRPr="0010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6E44" w:rsidRPr="00106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</w:t>
      </w:r>
      <w:r w:rsidR="007B691C" w:rsidRPr="0010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дцать тысяч семьсот</w:t>
      </w:r>
      <w:r w:rsidRPr="00106E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 </w:t>
      </w:r>
      <w:r w:rsidRPr="007B691C">
        <w:rPr>
          <w:rFonts w:ascii="Times New Roman" w:eastAsia="Calibri" w:hAnsi="Times New Roman" w:cs="Times New Roman"/>
          <w:sz w:val="24"/>
          <w:szCs w:val="24"/>
        </w:rPr>
        <w:t>от начальной цены предмета а</w:t>
      </w:r>
      <w:r w:rsidR="00B57ED2">
        <w:rPr>
          <w:rFonts w:ascii="Times New Roman" w:eastAsia="Calibri" w:hAnsi="Times New Roman" w:cs="Times New Roman"/>
          <w:sz w:val="24"/>
          <w:szCs w:val="24"/>
        </w:rPr>
        <w:t>укциона, указанной в настоящем И</w:t>
      </w:r>
      <w:r w:rsidRPr="007B691C">
        <w:rPr>
          <w:rFonts w:ascii="Times New Roman" w:eastAsia="Calibri" w:hAnsi="Times New Roman" w:cs="Times New Roman"/>
          <w:sz w:val="24"/>
          <w:szCs w:val="24"/>
        </w:rPr>
        <w:t>звещении</w:t>
      </w:r>
      <w:r w:rsidR="0055041D">
        <w:rPr>
          <w:rFonts w:ascii="Times New Roman" w:eastAsia="Calibri" w:hAnsi="Times New Roman" w:cs="Times New Roman"/>
          <w:sz w:val="24"/>
          <w:szCs w:val="24"/>
        </w:rPr>
        <w:t>,</w:t>
      </w:r>
      <w:r w:rsidRPr="007B691C">
        <w:rPr>
          <w:rFonts w:ascii="Times New Roman" w:eastAsia="Calibri" w:hAnsi="Times New Roman" w:cs="Times New Roman"/>
          <w:sz w:val="24"/>
          <w:szCs w:val="24"/>
        </w:rPr>
        <w:t xml:space="preserve"> и не изменяется в течение всего аукциона.</w:t>
      </w:r>
    </w:p>
    <w:p w:rsidR="001726D5" w:rsidRPr="001726D5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цене.</w:t>
      </w:r>
    </w:p>
    <w:p w:rsidR="001726D5" w:rsidRPr="001726D5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осуществляется в соответствии с Регламентом Оператора электронной площадки.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10 минут.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</w:rPr>
        <w:t>Ход проведения процедуры подачи предложений о цене фиксируется Оператором электронной площадки в электронном журнале. Журнал с предложениями о</w:t>
      </w:r>
      <w:r w:rsidR="00782EDF">
        <w:rPr>
          <w:rFonts w:ascii="Times New Roman" w:eastAsia="Calibri" w:hAnsi="Times New Roman" w:cs="Times New Roman"/>
          <w:sz w:val="24"/>
          <w:szCs w:val="24"/>
        </w:rPr>
        <w:t xml:space="preserve"> цене Участников направляется в Л</w:t>
      </w:r>
      <w:r w:rsidRPr="001726D5">
        <w:rPr>
          <w:rFonts w:ascii="Times New Roman" w:eastAsia="Calibri" w:hAnsi="Times New Roman" w:cs="Times New Roman"/>
          <w:sz w:val="24"/>
          <w:szCs w:val="24"/>
        </w:rPr>
        <w:t xml:space="preserve">ичный кабинет Организатора аукциона в течение одного часа со времени завершения торговой сессии. Оператор </w:t>
      </w:r>
      <w:r w:rsidRPr="001726D5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электронной площадки</w:t>
      </w:r>
      <w:r w:rsidRPr="001726D5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782EDF">
        <w:rPr>
          <w:rFonts w:ascii="Times New Roman" w:eastAsia="Calibri" w:hAnsi="Times New Roman" w:cs="Times New Roman"/>
          <w:sz w:val="24"/>
          <w:szCs w:val="24"/>
        </w:rPr>
        <w:t>правляет Организатору аукциона ж</w:t>
      </w:r>
      <w:r w:rsidRPr="001726D5">
        <w:rPr>
          <w:rFonts w:ascii="Times New Roman" w:eastAsia="Calibri" w:hAnsi="Times New Roman" w:cs="Times New Roman"/>
          <w:sz w:val="24"/>
          <w:szCs w:val="24"/>
        </w:rPr>
        <w:t xml:space="preserve">урнал с лучшими ценовыми предложениями Участников аукциона и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штатного интерфейса электронной площадки</w:t>
      </w:r>
      <w:r w:rsidRPr="001726D5">
        <w:rPr>
          <w:rFonts w:ascii="Times New Roman" w:eastAsia="Calibri" w:hAnsi="Times New Roman" w:cs="Times New Roman"/>
          <w:sz w:val="24"/>
          <w:szCs w:val="24"/>
        </w:rPr>
        <w:t xml:space="preserve"> обеспечивает просмотр всех предложений о цене поданных Участниками аукциона.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Процедура аукциона считается завершенной с момента подписания Организатором аукциона протокола о результатах электронного аукциона.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Аукцион признается несостоявшимся в следующих случаях:</w:t>
      </w:r>
    </w:p>
    <w:p w:rsidR="00782EDF" w:rsidRDefault="0071717C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1726D5"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не было подано ни одной заявки на участие либо ни один из Претендентов не признан участником;</w:t>
      </w:r>
    </w:p>
    <w:p w:rsidR="00782EDF" w:rsidRDefault="0071717C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1726D5"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принято решение о признании только одного Претендента участником;</w:t>
      </w:r>
    </w:p>
    <w:p w:rsidR="00782EDF" w:rsidRDefault="0071717C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1726D5"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ни один из участников не сделал предложение о начальной цене предмета аукциона.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Решение о признании аукциона несостоявшимся оформляется протоколом об итогах аукциона.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единой электронной торговой площадки следующая информация:</w:t>
      </w:r>
    </w:p>
    <w:p w:rsidR="00782EDF" w:rsidRDefault="0071717C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1726D5"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наименование предмета аукциона и иные позволяющие его индивидуализировать сведения;</w:t>
      </w:r>
    </w:p>
    <w:p w:rsidR="00782EDF" w:rsidRDefault="0071717C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1726D5"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цена сделки;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 фамилия, имя</w:t>
      </w:r>
      <w:r w:rsidR="00664F3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отчество физического лица </w:t>
      </w:r>
      <w:r w:rsidRPr="001726D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 Победителя торгов.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</w:rPr>
        <w:t>Протокол о результатах электронного аукциона является основанием для заключения с победителем аукциона Договора.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заключения Договора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 дня истечения 10 (десяти) дней со дня размещения протокола о результатах электронного аукциона</w:t>
      </w:r>
      <w:r w:rsidRPr="00172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 течение 5 (пяти) дней направляет посредством штатного интерфейса электронной площадки победителю аукциона или единственному принявшему участие в аукционе его участнику проект подписанного Договора с предложением о подписании его в срок не позднее </w:t>
      </w: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дней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направления проекта Договора вышеуказанным лицам (не допускается заключение Договора ранее, чем через </w:t>
      </w: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дней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протокола о результатах электронного аукциона на официальном сайте торгов (</w:t>
      </w:r>
      <w:hyperlink r:id="rId14" w:history="1">
        <w:r w:rsidR="00782EDF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82EDF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82EDF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proofErr w:type="spellEnd"/>
        <w:r w:rsidR="00782EDF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82EDF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="00782EDF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82EDF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782EDF" w:rsidRPr="00134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случае, если аукцион будет признан несостоявшимся, со дня истечения 10 (десяти) дней со дня размещения протокола рассмотрения заявок</w:t>
      </w:r>
      <w:r w:rsidRPr="00172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течении 5 (пяти) дней направляет посредством штатного интерфейса электронной площадки Претенденту, признанному единственным участником аукциона или</w:t>
      </w:r>
      <w:r w:rsidRPr="00172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лицу, подавшему единственную заявку на участие в аукционе,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штатного интерфейса  электронной площадки подписанный проект Договора, с предложением о заключении Договора с вышеуказанными лицами по начальной цене предмета аукциона в срок не позднее </w:t>
      </w: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дней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направления подписанного проекта Договора вышеуказанным лицам (не допускается заключение Договора ранее, чем через </w:t>
      </w: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дней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протокола рассмотрения заявок на участие в аукционе на официальном сайте торгов (</w:t>
      </w:r>
      <w:hyperlink r:id="rId15" w:history="1"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)</w:t>
        </w:r>
      </w:hyperlink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оплаты: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Победитель аукциона (участник, сделавший предпоследнее предложение, в случае уклонения победителя аукциона от подписания Договора) единовременно разовым платежом оплачивает цену предмета аукциона, определенную по итогам аукциона, в течение 5 (пяти) рабочих дней с даты подписания Договора (внесенный задаток, засчитывается в счет оплаты цены предмета аукциона).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 случае, если Договор заключается с единственным принявшим участие в аукционе участником, лицом, подавшем единственную заявку на участие в аукционе или Претендентом, признанным единственным участником аукциона, задаток,</w:t>
      </w: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 заявителем для участия в аукционе, засчитывается</w:t>
      </w:r>
      <w:r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цены предмета аукциона равной начальной цене предмета аукциона</w:t>
      </w:r>
      <w:r w:rsidRPr="00172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Оставшуюся сумму цены предмета аукциона участник в течение 5 (пяти) рабочих дней с даты подписания Договора оплачивает путём перечисления денежных средств на расчётный счёт, указанный в Договоре.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МКУ «СФИ»</w:t>
      </w:r>
      <w:r w:rsidRPr="00172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размещение протокола о результатах аукциона на </w:t>
      </w:r>
      <w:hyperlink r:id="rId16" w:history="1">
        <w:r w:rsidRPr="00172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</w:t>
      </w:r>
      <w:hyperlink r:id="rId17" w:history="1">
        <w:r w:rsidRPr="00172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</w:t>
        </w:r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</w:t>
        </w:r>
        <w:r w:rsidRPr="00172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официальном сайте Сосновоборского городского округа (</w:t>
      </w:r>
      <w:hyperlink r:id="rId18" w:history="1">
        <w:r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www.sbor.ru</w:t>
        </w:r>
      </w:hyperlink>
      <w:r w:rsidRPr="001726D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его подписания на сайте Оператора электронной площадки.</w:t>
      </w:r>
      <w:r w:rsidRPr="00172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Если победитель аукциона или единственный принявший участие в аукционе его участник отказался или уклонился от заключения Договора, то внесенный задаток им не возвращается и поступает в бюджет города.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случае, если победитель аукциона или единственный принявший участие в аукционе его участник в с</w:t>
      </w:r>
      <w:r w:rsidR="00B57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рок, предусмотренный настоящим И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звещением, не представил Организатору аукциона посредством штатного интерфейса электронной площадки подписанный Договор, то указанные лица признаются уклонившимися от заключения Договора, о чем Организатором аукциона принимается соответствующее решение. При этом Организатор аукциона направляет посредством штатного интерфейса электронной площадки </w:t>
      </w:r>
      <w:r w:rsidRPr="00172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участнику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аукциона, который сделал предпоследнее предложение о цене предмета аукциона, проект Договора, прилагаемый к документации об аукционе, с предложением заключить Договор по цене, предложенной </w:t>
      </w:r>
      <w:r w:rsidRPr="00172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победителем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и последующем представлении посредством штатного интерфейса электронной площадки подписанный Договор в течение 30 (тридцати</w:t>
      </w:r>
      <w:r w:rsidR="007B691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направления указанному лицу проекта Договора.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если </w:t>
      </w:r>
      <w:r w:rsidRPr="00172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участник 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 который сделал предпоследнее предложение о цене предмета аукциона, в течение тридцати дней со дня направления ему проекта Договора не представил Организатору аукциона, подписанный этим участником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82EDF" w:rsidRDefault="001726D5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случае если победитель аукциона или единственный принявший участие в аукционе его участник или лицо, подавшее единственную заявку на участие в аукционе, или Претендент, признанный единственным участником аукциона, будет признан уклонившимся от заключения Договора, то Организатор аукциона направляет сведения об указанном лице в Федеральную антимонопольную службу Российской Федерации для включения его в реестр недобросовестных участников аукциона.</w:t>
      </w:r>
    </w:p>
    <w:p w:rsidR="00FF6600" w:rsidRDefault="00B57ED2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</w:t>
      </w:r>
      <w:r w:rsidR="001726D5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вещение, форма заявки и проект Договора размещены на </w:t>
      </w:r>
      <w:hyperlink r:id="rId19" w:history="1">
        <w:r w:rsidR="001726D5" w:rsidRPr="00172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1726D5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</w:t>
      </w:r>
      <w:hyperlink r:id="rId20" w:history="1">
        <w:r w:rsidR="001726D5" w:rsidRPr="00172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r w:rsidR="001726D5"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</w:t>
        </w:r>
        <w:r w:rsidR="001726D5"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</w:t>
        </w:r>
        <w:r w:rsidR="001726D5" w:rsidRPr="00172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="001726D5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официальном сайте Сосновоборского городского округа (</w:t>
      </w:r>
      <w:hyperlink r:id="rId21" w:history="1">
        <w:r w:rsidR="001726D5"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www.sbor.ru</w:t>
        </w:r>
      </w:hyperlink>
      <w:r w:rsidR="001726D5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</w:t>
      </w:r>
      <w:r w:rsidR="001726D5" w:rsidRPr="0017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«ТОРГИ ПО ПЕРЕДАЧЕ ПРАВ НА МУНИЦИПАЛЬНОЕ ИМУЩЕСТВО» </w:t>
      </w:r>
      <w:r w:rsidR="001726D5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2" w:history="1">
        <w:r w:rsidR="001726D5" w:rsidRPr="001726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www.sbor.ru/mau/</w:t>
        </w:r>
      </w:hyperlink>
      <w:r w:rsidR="001726D5"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6600" w:rsidRDefault="00FF6600" w:rsidP="00FF6600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600" w:rsidRDefault="00FF6600" w:rsidP="00FF660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59" w:rsidRPr="00D17659" w:rsidRDefault="00D17659" w:rsidP="00D1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00" w:rsidRDefault="00FF6600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600" w:rsidRDefault="00FF6600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3191" w:rsidRDefault="002A3191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3191" w:rsidRDefault="002A3191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3191" w:rsidRDefault="002A3191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963" w:rsidRDefault="00FD3963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963" w:rsidRDefault="00FD3963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963" w:rsidRDefault="00FD3963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963" w:rsidRDefault="00FD3963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3963" w:rsidRDefault="00FD3963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7ED2" w:rsidRDefault="00B57ED2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7ED2" w:rsidRDefault="00B57ED2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7ED2" w:rsidRDefault="00B57ED2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7ED2" w:rsidRDefault="00B57ED2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7ED2" w:rsidRDefault="00B57ED2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04F" w:rsidRDefault="009B204F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04F" w:rsidRDefault="009B204F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04F" w:rsidRDefault="009B204F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04F" w:rsidRDefault="009B204F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04F" w:rsidRDefault="009B204F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04F" w:rsidRDefault="009B204F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04F" w:rsidRDefault="009B204F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26D5" w:rsidRPr="001726D5" w:rsidRDefault="001726D5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к </w:t>
      </w:r>
      <w:r w:rsidR="00B57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72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звещению </w:t>
      </w:r>
    </w:p>
    <w:p w:rsidR="001726D5" w:rsidRPr="001726D5" w:rsidRDefault="001726D5" w:rsidP="001726D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26D5" w:rsidRPr="001726D5" w:rsidRDefault="001726D5" w:rsidP="001726D5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рег</w:t>
      </w:r>
      <w:r w:rsidR="0059661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ламент территориальной зоны Ж-5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Предельных (минимальных и (или) максимальных) размеров земельных участков и предельные параметры разрешенного строительства, реконструкции объектов капитального строительства на земельном участке установлены в соответствии со ст.27.2  Правил землепользования и застройки муниципального образования Сосновоборский городской округ</w:t>
      </w:r>
      <w:r w:rsidR="0059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приказом </w:t>
      </w:r>
      <w:r w:rsidR="005966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архитектуре и градостроительству Ленинградской области от 03.09.2019 № 59 (</w:t>
      </w:r>
      <w:r w:rsidR="005966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B6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6D5" w:rsidRPr="001726D5" w:rsidRDefault="001726D5" w:rsidP="001726D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26D5" w:rsidRPr="001726D5" w:rsidRDefault="001726D5" w:rsidP="001726D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Ж-5 ЗОНА САДОВОДСТВ </w:t>
      </w:r>
    </w:p>
    <w:p w:rsidR="001726D5" w:rsidRPr="001726D5" w:rsidRDefault="001726D5" w:rsidP="00172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предназначена для ведения садоводства и огородничества, в целях отдыха и (или) выращивания гражданами для собственных нужд сельскохозяйственных культур.</w:t>
      </w:r>
    </w:p>
    <w:p w:rsidR="001726D5" w:rsidRPr="001726D5" w:rsidRDefault="001726D5" w:rsidP="00172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5" w:rsidRPr="001726D5" w:rsidRDefault="001726D5" w:rsidP="00782ED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782E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981"/>
        <w:gridCol w:w="130"/>
        <w:gridCol w:w="1613"/>
        <w:gridCol w:w="79"/>
        <w:gridCol w:w="1668"/>
      </w:tblGrid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ед. измерения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значение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значение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1" w:type="dxa"/>
            <w:gridSpan w:val="5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471" w:type="dxa"/>
            <w:gridSpan w:val="5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участков, кв. м: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видов использования  «Ведение садоводства»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1726D5" w:rsidRPr="001726D5" w:rsidRDefault="001726D5" w:rsidP="0078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видов использования  «Ведение огородничества»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1726D5" w:rsidRPr="001726D5" w:rsidRDefault="001726D5" w:rsidP="0078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иных видов использования 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1726D5" w:rsidRPr="001726D5" w:rsidRDefault="001726D5" w:rsidP="0078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земельных участков поставленных на кадастровый учет до принятия решения об утверждения настоящих правил землепользования и застройки Сосновоборского городского округа</w:t>
            </w:r>
          </w:p>
        </w:tc>
        <w:tc>
          <w:tcPr>
            <w:tcW w:w="3490" w:type="dxa"/>
            <w:gridSpan w:val="4"/>
            <w:shd w:val="clear" w:color="auto" w:fill="auto"/>
            <w:vAlign w:val="center"/>
          </w:tcPr>
          <w:p w:rsidR="001726D5" w:rsidRPr="001726D5" w:rsidRDefault="001726D5" w:rsidP="0017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не применяются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размеры</w:t>
            </w:r>
          </w:p>
        </w:tc>
        <w:tc>
          <w:tcPr>
            <w:tcW w:w="3490" w:type="dxa"/>
            <w:gridSpan w:val="4"/>
            <w:shd w:val="clear" w:color="auto" w:fill="auto"/>
          </w:tcPr>
          <w:p w:rsidR="001726D5" w:rsidRPr="001726D5" w:rsidRDefault="001726D5" w:rsidP="0078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1" w:type="dxa"/>
            <w:gridSpan w:val="5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 от границ соседнего участка в целях определения мест допустимого размещения хозяйственных строений и сооружений (в том числе гаражей), м</w:t>
            </w:r>
          </w:p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требований.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 от границ соседнего участка в целях определения мест допустимого размещения садового дома или жилого дома, м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основных, условно-разрешенных и вспомогательных видов разрешенного использования</w:t>
            </w:r>
          </w:p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высота зданий, строений, сооружений, м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видов использования «Ведение огородничества»</w:t>
            </w:r>
          </w:p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высота зданий, строений, сооружений, м</w:t>
            </w:r>
          </w:p>
        </w:tc>
        <w:tc>
          <w:tcPr>
            <w:tcW w:w="3490" w:type="dxa"/>
            <w:gridSpan w:val="4"/>
            <w:shd w:val="clear" w:color="auto" w:fill="auto"/>
            <w:vAlign w:val="center"/>
          </w:tcPr>
          <w:p w:rsidR="001726D5" w:rsidRPr="001726D5" w:rsidRDefault="001726D5" w:rsidP="0078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1" w:type="dxa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застройки в границах земельного участка, определяемый как отношение суммарной площади </w:t>
            </w: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участка, которая может быть застроена, ко всей площади земельного участка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30 %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471" w:type="dxa"/>
            <w:gridSpan w:val="5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471" w:type="dxa"/>
            <w:gridSpan w:val="5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от красной линии в соответствии с утвержденной документацией по планировке территории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471" w:type="dxa"/>
            <w:gridSpan w:val="5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расстояние от садового дома или жилого дома до красной линии улиц должно быть не менее 5 метров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471" w:type="dxa"/>
            <w:gridSpan w:val="5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расстояние от садового дома или жилого дома до красной линии проездов должно быть не менее 3 метров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471" w:type="dxa"/>
            <w:gridSpan w:val="5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ограждения земельных участков: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6111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улиц, проездов</w:t>
            </w:r>
            <w:r w:rsidRPr="00172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6111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соседними земельными участками</w:t>
            </w:r>
            <w:r w:rsidRPr="00172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6111" w:type="dxa"/>
            <w:gridSpan w:val="2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скоростных транспортных магистралей</w:t>
            </w:r>
            <w:r w:rsidRPr="00172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726D5" w:rsidRPr="001726D5" w:rsidTr="00782EDF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1726D5" w:rsidRPr="001726D5" w:rsidRDefault="001726D5" w:rsidP="001726D5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471" w:type="dxa"/>
            <w:gridSpan w:val="5"/>
            <w:shd w:val="clear" w:color="auto" w:fill="auto"/>
          </w:tcPr>
          <w:p w:rsidR="001726D5" w:rsidRPr="001726D5" w:rsidRDefault="001726D5" w:rsidP="00172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ограждения, используемого для ограждения земельных участков с видами разрешенного использования «Ведение садоводства» - сетчатое, решетчатое, прозрачное. Допускается использование иных типов ограждения между соседними земельными участками по вз</w:t>
            </w:r>
            <w:r w:rsidR="007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аимному согласию домовладельцев</w:t>
            </w:r>
          </w:p>
        </w:tc>
      </w:tr>
    </w:tbl>
    <w:p w:rsidR="001726D5" w:rsidRPr="001726D5" w:rsidRDefault="001726D5" w:rsidP="00172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D5" w:rsidRPr="001726D5" w:rsidRDefault="001726D5" w:rsidP="001726D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  <w:sectPr w:rsidR="001726D5" w:rsidRPr="001726D5" w:rsidSect="0055254F">
          <w:type w:val="continuous"/>
          <w:pgSz w:w="11906" w:h="16838" w:code="9"/>
          <w:pgMar w:top="851" w:right="567" w:bottom="1134" w:left="1134" w:header="0" w:footer="0" w:gutter="0"/>
          <w:cols w:space="720"/>
          <w:docGrid w:linePitch="272"/>
        </w:sectPr>
      </w:pPr>
      <w:bookmarkStart w:id="0" w:name="_GoBack"/>
      <w:bookmarkEnd w:id="0"/>
    </w:p>
    <w:p w:rsidR="00C7221D" w:rsidRDefault="00C7221D" w:rsidP="009B204F">
      <w:pPr>
        <w:shd w:val="clear" w:color="auto" w:fill="FFFFFF"/>
        <w:spacing w:after="0" w:line="240" w:lineRule="auto"/>
      </w:pPr>
    </w:p>
    <w:sectPr w:rsidR="00C7221D" w:rsidSect="001726D5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63D"/>
    <w:multiLevelType w:val="multilevel"/>
    <w:tmpl w:val="895035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77E7E"/>
    <w:multiLevelType w:val="hybridMultilevel"/>
    <w:tmpl w:val="485697C2"/>
    <w:lvl w:ilvl="0" w:tplc="F808E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5F11"/>
    <w:multiLevelType w:val="hybridMultilevel"/>
    <w:tmpl w:val="1566373C"/>
    <w:lvl w:ilvl="0" w:tplc="79C4E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D083B6C"/>
    <w:multiLevelType w:val="hybridMultilevel"/>
    <w:tmpl w:val="B5A6401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7A81"/>
    <w:multiLevelType w:val="hybridMultilevel"/>
    <w:tmpl w:val="AA4C9B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DAC609F"/>
    <w:multiLevelType w:val="hybridMultilevel"/>
    <w:tmpl w:val="EB166C76"/>
    <w:lvl w:ilvl="0" w:tplc="669CF0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30B25B7F"/>
    <w:multiLevelType w:val="hybridMultilevel"/>
    <w:tmpl w:val="FBD8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D6A9A"/>
    <w:multiLevelType w:val="hybridMultilevel"/>
    <w:tmpl w:val="B6DA3650"/>
    <w:lvl w:ilvl="0" w:tplc="33EE983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3E7186"/>
    <w:multiLevelType w:val="multilevel"/>
    <w:tmpl w:val="FE8009D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9E25C69"/>
    <w:multiLevelType w:val="hybridMultilevel"/>
    <w:tmpl w:val="62468436"/>
    <w:lvl w:ilvl="0" w:tplc="3E5EFA64">
      <w:start w:val="1"/>
      <w:numFmt w:val="decimal"/>
      <w:lvlText w:val="%1."/>
      <w:lvlJc w:val="left"/>
      <w:pPr>
        <w:ind w:left="10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B1D1290"/>
    <w:multiLevelType w:val="hybridMultilevel"/>
    <w:tmpl w:val="B75A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C318A8"/>
    <w:multiLevelType w:val="hybridMultilevel"/>
    <w:tmpl w:val="7D92CD0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910D7E"/>
    <w:multiLevelType w:val="hybridMultilevel"/>
    <w:tmpl w:val="A5DE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C3818"/>
    <w:multiLevelType w:val="hybridMultilevel"/>
    <w:tmpl w:val="64429DAA"/>
    <w:lvl w:ilvl="0" w:tplc="F0765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E01BE"/>
    <w:multiLevelType w:val="multilevel"/>
    <w:tmpl w:val="44724BFE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 w:val="0"/>
      </w:rPr>
    </w:lvl>
  </w:abstractNum>
  <w:abstractNum w:abstractNumId="16" w15:restartNumberingAfterBreak="0">
    <w:nsid w:val="61891382"/>
    <w:multiLevelType w:val="hybridMultilevel"/>
    <w:tmpl w:val="8850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E932E9"/>
    <w:multiLevelType w:val="hybridMultilevel"/>
    <w:tmpl w:val="19C4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951F8"/>
    <w:multiLevelType w:val="multilevel"/>
    <w:tmpl w:val="49A00B92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9" w15:restartNumberingAfterBreak="0">
    <w:nsid w:val="75E77791"/>
    <w:multiLevelType w:val="hybridMultilevel"/>
    <w:tmpl w:val="BB12228C"/>
    <w:lvl w:ilvl="0" w:tplc="268EA14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79F21A93"/>
    <w:multiLevelType w:val="hybridMultilevel"/>
    <w:tmpl w:val="5F44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C7813"/>
    <w:multiLevelType w:val="hybridMultilevel"/>
    <w:tmpl w:val="529C8AFA"/>
    <w:lvl w:ilvl="0" w:tplc="6D8E5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6761B2"/>
    <w:multiLevelType w:val="multilevel"/>
    <w:tmpl w:val="593EFD94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3" w15:restartNumberingAfterBreak="0">
    <w:nsid w:val="7DA03FC4"/>
    <w:multiLevelType w:val="hybridMultilevel"/>
    <w:tmpl w:val="F8242F74"/>
    <w:lvl w:ilvl="0" w:tplc="F4FE7EE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9"/>
  </w:num>
  <w:num w:numId="5">
    <w:abstractNumId w:val="20"/>
  </w:num>
  <w:num w:numId="6">
    <w:abstractNumId w:val="10"/>
  </w:num>
  <w:num w:numId="7">
    <w:abstractNumId w:val="12"/>
  </w:num>
  <w:num w:numId="8">
    <w:abstractNumId w:val="6"/>
  </w:num>
  <w:num w:numId="9">
    <w:abstractNumId w:val="7"/>
  </w:num>
  <w:num w:numId="10">
    <w:abstractNumId w:val="22"/>
  </w:num>
  <w:num w:numId="11">
    <w:abstractNumId w:val="1"/>
  </w:num>
  <w:num w:numId="12">
    <w:abstractNumId w:val="2"/>
  </w:num>
  <w:num w:numId="13">
    <w:abstractNumId w:val="19"/>
  </w:num>
  <w:num w:numId="14">
    <w:abstractNumId w:val="23"/>
  </w:num>
  <w:num w:numId="15">
    <w:abstractNumId w:val="0"/>
  </w:num>
  <w:num w:numId="16">
    <w:abstractNumId w:val="18"/>
  </w:num>
  <w:num w:numId="17">
    <w:abstractNumId w:val="14"/>
  </w:num>
  <w:num w:numId="18">
    <w:abstractNumId w:val="21"/>
  </w:num>
  <w:num w:numId="19">
    <w:abstractNumId w:val="5"/>
  </w:num>
  <w:num w:numId="20">
    <w:abstractNumId w:val="17"/>
  </w:num>
  <w:num w:numId="21">
    <w:abstractNumId w:val="3"/>
  </w:num>
  <w:num w:numId="22">
    <w:abstractNumId w:val="8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37"/>
    <w:rsid w:val="00021C48"/>
    <w:rsid w:val="000B2BB3"/>
    <w:rsid w:val="00106E44"/>
    <w:rsid w:val="001726D5"/>
    <w:rsid w:val="00200AD3"/>
    <w:rsid w:val="00233771"/>
    <w:rsid w:val="002A3191"/>
    <w:rsid w:val="003A57C5"/>
    <w:rsid w:val="004223DF"/>
    <w:rsid w:val="0046738C"/>
    <w:rsid w:val="00492F21"/>
    <w:rsid w:val="00535137"/>
    <w:rsid w:val="00536DB6"/>
    <w:rsid w:val="0055041D"/>
    <w:rsid w:val="0055254F"/>
    <w:rsid w:val="00572C5A"/>
    <w:rsid w:val="0059661C"/>
    <w:rsid w:val="00664F3A"/>
    <w:rsid w:val="00677F44"/>
    <w:rsid w:val="006A091D"/>
    <w:rsid w:val="006E5AEE"/>
    <w:rsid w:val="006F7F88"/>
    <w:rsid w:val="0071717C"/>
    <w:rsid w:val="0075169A"/>
    <w:rsid w:val="00772B3A"/>
    <w:rsid w:val="00782EDF"/>
    <w:rsid w:val="007976D7"/>
    <w:rsid w:val="007B691C"/>
    <w:rsid w:val="007E2A82"/>
    <w:rsid w:val="007F1184"/>
    <w:rsid w:val="00800ACF"/>
    <w:rsid w:val="009062F0"/>
    <w:rsid w:val="009B204F"/>
    <w:rsid w:val="009C5E58"/>
    <w:rsid w:val="00A8319E"/>
    <w:rsid w:val="00B40A92"/>
    <w:rsid w:val="00B57ED2"/>
    <w:rsid w:val="00B86EF8"/>
    <w:rsid w:val="00C6559C"/>
    <w:rsid w:val="00C7221D"/>
    <w:rsid w:val="00C90B27"/>
    <w:rsid w:val="00CF6111"/>
    <w:rsid w:val="00D17659"/>
    <w:rsid w:val="00D336E6"/>
    <w:rsid w:val="00D52128"/>
    <w:rsid w:val="00E143EF"/>
    <w:rsid w:val="00E635FC"/>
    <w:rsid w:val="00E7579E"/>
    <w:rsid w:val="00E82CDC"/>
    <w:rsid w:val="00E911B9"/>
    <w:rsid w:val="00E9710E"/>
    <w:rsid w:val="00ED0BCB"/>
    <w:rsid w:val="00F659FA"/>
    <w:rsid w:val="00F7281A"/>
    <w:rsid w:val="00FD0256"/>
    <w:rsid w:val="00FD3963"/>
    <w:rsid w:val="00FE71C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38B0"/>
  <w15:chartTrackingRefBased/>
  <w15:docId w15:val="{B99D22E2-2B81-47DF-B2BB-DCD14DE3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6D5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6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6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26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6D5"/>
  </w:style>
  <w:style w:type="paragraph" w:styleId="a3">
    <w:name w:val="Body Text"/>
    <w:basedOn w:val="a"/>
    <w:link w:val="a4"/>
    <w:rsid w:val="001726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26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726D5"/>
    <w:rPr>
      <w:color w:val="0000FF"/>
      <w:u w:val="single"/>
    </w:rPr>
  </w:style>
  <w:style w:type="paragraph" w:customStyle="1" w:styleId="12">
    <w:name w:val="Абзац списка1"/>
    <w:basedOn w:val="a"/>
    <w:rsid w:val="001726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1726D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726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1726D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2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1726D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26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72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1726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1726D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726D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1726D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72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726D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2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1726D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72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726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1726D5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26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726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1726D5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726D5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1726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caption"/>
    <w:basedOn w:val="a"/>
    <w:next w:val="a"/>
    <w:qFormat/>
    <w:rsid w:val="001726D5"/>
    <w:pPr>
      <w:framePr w:w="5199" w:h="1732" w:hSpace="142" w:wrap="around" w:vAnchor="page" w:hAnchor="page" w:x="858" w:y="721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Обычный1"/>
    <w:rsid w:val="001726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1726D5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2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A">
    <w:name w:val="NormalA"/>
    <w:basedOn w:val="a"/>
    <w:rsid w:val="001726D5"/>
    <w:pPr>
      <w:widowControl w:val="0"/>
      <w:tabs>
        <w:tab w:val="left" w:pos="90"/>
      </w:tabs>
      <w:spacing w:after="0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1726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paragraph" w:customStyle="1" w:styleId="16">
    <w:name w:val="Цитата1"/>
    <w:basedOn w:val="a"/>
    <w:rsid w:val="001726D5"/>
    <w:pPr>
      <w:suppressAutoHyphens/>
      <w:snapToGrid w:val="0"/>
      <w:spacing w:after="0" w:line="240" w:lineRule="auto"/>
      <w:ind w:left="284" w:right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No Spacing"/>
    <w:uiPriority w:val="1"/>
    <w:qFormat/>
    <w:rsid w:val="001726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Strong"/>
    <w:uiPriority w:val="22"/>
    <w:qFormat/>
    <w:rsid w:val="001726D5"/>
    <w:rPr>
      <w:b/>
      <w:bCs/>
    </w:rPr>
  </w:style>
  <w:style w:type="paragraph" w:styleId="af3">
    <w:name w:val="List Paragraph"/>
    <w:basedOn w:val="a"/>
    <w:uiPriority w:val="34"/>
    <w:qFormat/>
    <w:rsid w:val="001726D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1726D5"/>
    <w:rPr>
      <w:rFonts w:ascii="Arial" w:eastAsia="Times New Roman" w:hAnsi="Arial" w:cs="Arial"/>
      <w:sz w:val="24"/>
      <w:lang w:eastAsia="ru-RU"/>
    </w:rPr>
  </w:style>
  <w:style w:type="paragraph" w:customStyle="1" w:styleId="25">
    <w:name w:val="Обычный2"/>
    <w:rsid w:val="001726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бычный3"/>
    <w:rsid w:val="001726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4">
    <w:name w:val="Table Grid"/>
    <w:basedOn w:val="a1"/>
    <w:uiPriority w:val="59"/>
    <w:rsid w:val="001726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link w:val="27"/>
    <w:rsid w:val="001726D5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6D5"/>
    <w:pPr>
      <w:widowControl w:val="0"/>
      <w:shd w:val="clear" w:color="auto" w:fill="FFFFFF"/>
      <w:spacing w:after="2040" w:line="274" w:lineRule="exact"/>
      <w:ind w:hanging="100"/>
    </w:pPr>
  </w:style>
  <w:style w:type="character" w:customStyle="1" w:styleId="ConsPlusNormal0">
    <w:name w:val="ConsPlusNormal Знак"/>
    <w:rsid w:val="001726D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17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rsid w:val="001726D5"/>
    <w:rPr>
      <w:vertAlign w:val="superscript"/>
    </w:rPr>
  </w:style>
  <w:style w:type="paragraph" w:styleId="af7">
    <w:name w:val="footnote text"/>
    <w:basedOn w:val="a"/>
    <w:link w:val="af8"/>
    <w:rsid w:val="001726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Текст сноски Знак"/>
    <w:basedOn w:val="a0"/>
    <w:link w:val="af7"/>
    <w:rsid w:val="001726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">
    <w:name w:val="Обычный4"/>
    <w:rsid w:val="001726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MIZEML2\AppData\Local\Microsoft\Windows\INetCache\Content.Outlook\S2DCHXCI\&#1044;&#1083;&#1103;%20&#1088;&#1072;&#1079;&#1084;&#1077;&#1097;&#1077;&#1085;&#1080;&#1103;\&#1048;&#1085;&#1089;&#1090;&#1088;&#1091;&#1082;&#1094;&#1080;&#1103;%20&#1087;&#1086;%20&#1079;&#1072;&#1087;&#1086;&#1083;&#1085;&#1077;&#1085;&#1080;&#1102;%20&#1101;&#1083;&#1077;&#1082;&#1090;&#1088;&#1086;&#1085;&#1085;&#1086;&#1081;%20&#1092;&#1086;&#1088;&#1084;&#1099;%20&#1079;&#1072;&#1103;&#1074;&#1082;&#1080;.pdf" TargetMode="External"/><Relationship Id="rId13" Type="http://schemas.openxmlformats.org/officeDocument/2006/relationships/hyperlink" Target="http://www.torgi.gov.ru)" TargetMode="External"/><Relationship Id="rId18" Type="http://schemas.openxmlformats.org/officeDocument/2006/relationships/hyperlink" Target="http://www.sbo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bor.ru" TargetMode="External"/><Relationship Id="rId7" Type="http://schemas.openxmlformats.org/officeDocument/2006/relationships/hyperlink" Target="http://www.sbor.ru" TargetMode="External"/><Relationship Id="rId12" Type="http://schemas.openxmlformats.org/officeDocument/2006/relationships/hyperlink" Target="https://utp.sberbank-ast.ru/AP/Notice/653/Requisites" TargetMode="External"/><Relationship Id="rId17" Type="http://schemas.openxmlformats.org/officeDocument/2006/relationships/hyperlink" Target="http://(www.torgi.gov.ru)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45EA93E5A8768A558F1AF1248B00A1EC7CD1EDD53D65EC49CEE8DDD62869F92F6089d7E9G" TargetMode="External"/><Relationship Id="rId20" Type="http://schemas.openxmlformats.org/officeDocument/2006/relationships/hyperlink" Target="http://(www.torgi.gov.ru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tp.sberbank-ast.ru/AP/Notice/652/Instructions" TargetMode="External"/><Relationship Id="rId19" Type="http://schemas.openxmlformats.org/officeDocument/2006/relationships/hyperlink" Target="consultantplus://offline/ref=4945EA93E5A8768A558F1AF1248B00A1EC7CD1EDD53D65EC49CEE8DDD62869F92F6089d7E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://www.torgi.gov.ru)" TargetMode="External"/><Relationship Id="rId22" Type="http://schemas.openxmlformats.org/officeDocument/2006/relationships/hyperlink" Target="http://www.sbor.ru/ma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A8DE-0455-4D0C-B031-F66077B9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41</cp:revision>
  <cp:lastPrinted>2025-01-28T11:54:00Z</cp:lastPrinted>
  <dcterms:created xsi:type="dcterms:W3CDTF">2024-04-26T13:27:00Z</dcterms:created>
  <dcterms:modified xsi:type="dcterms:W3CDTF">2025-01-31T06:20:00Z</dcterms:modified>
</cp:coreProperties>
</file>