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7F" w:rsidRDefault="001A457F" w:rsidP="001A4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  <w:r w:rsidR="00857468">
        <w:rPr>
          <w:rFonts w:ascii="Times New Roman" w:hAnsi="Times New Roman" w:cs="Times New Roman"/>
          <w:b/>
          <w:sz w:val="28"/>
          <w:szCs w:val="28"/>
        </w:rPr>
        <w:t xml:space="preserve">финансово-контрольной комиссии </w:t>
      </w:r>
      <w:proofErr w:type="spellStart"/>
      <w:r w:rsidR="00857468">
        <w:rPr>
          <w:rFonts w:ascii="Times New Roman" w:hAnsi="Times New Roman" w:cs="Times New Roman"/>
          <w:b/>
          <w:sz w:val="28"/>
          <w:szCs w:val="28"/>
        </w:rPr>
        <w:t>Сосновобрского</w:t>
      </w:r>
      <w:proofErr w:type="spellEnd"/>
      <w:r w:rsidR="00857468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за </w:t>
      </w:r>
      <w:r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857468" w:rsidRDefault="00857468" w:rsidP="008574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сведению </w:t>
      </w:r>
    </w:p>
    <w:p w:rsidR="00857468" w:rsidRDefault="00857468" w:rsidP="0085746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советом депутатов от 25.04.2016 № 61</w:t>
      </w:r>
    </w:p>
    <w:p w:rsidR="001A457F" w:rsidRDefault="001A457F" w:rsidP="001A45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077" w:rsidRDefault="00D858A2" w:rsidP="001A4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8A2">
        <w:rPr>
          <w:rFonts w:ascii="Times New Roman" w:hAnsi="Times New Roman" w:cs="Times New Roman"/>
          <w:b/>
          <w:sz w:val="28"/>
          <w:szCs w:val="28"/>
        </w:rPr>
        <w:t>Контрольно-ревизионная работа</w:t>
      </w:r>
    </w:p>
    <w:p w:rsidR="00D858A2" w:rsidRPr="0066779F" w:rsidRDefault="00D858A2" w:rsidP="00D858A2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66779F">
        <w:rPr>
          <w:sz w:val="28"/>
          <w:szCs w:val="28"/>
        </w:rPr>
        <w:t xml:space="preserve">Финансово контрольная комиссия Сосновоборского городского округа, реализуя полномочия, отнесенные к ее компетенции, в 2015 году провела 10 контрольных мероприятий. </w:t>
      </w:r>
    </w:p>
    <w:p w:rsidR="00D858A2" w:rsidRPr="0066779F" w:rsidRDefault="00D858A2" w:rsidP="00D858A2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66779F">
        <w:rPr>
          <w:sz w:val="28"/>
          <w:szCs w:val="28"/>
        </w:rPr>
        <w:t>В ходе контрольных мероприятий проверено 15 объектов контроля, из них:</w:t>
      </w:r>
    </w:p>
    <w:p w:rsidR="00D858A2" w:rsidRPr="0066779F" w:rsidRDefault="00D858A2" w:rsidP="00D858A2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66779F">
        <w:rPr>
          <w:sz w:val="28"/>
          <w:szCs w:val="28"/>
        </w:rPr>
        <w:t>- 5 органов местного самоуправления,</w:t>
      </w:r>
    </w:p>
    <w:p w:rsidR="00D858A2" w:rsidRPr="0066779F" w:rsidRDefault="00D858A2" w:rsidP="00D858A2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66779F">
        <w:rPr>
          <w:sz w:val="28"/>
          <w:szCs w:val="28"/>
        </w:rPr>
        <w:t>- 6 муниципальных учреждений,</w:t>
      </w:r>
    </w:p>
    <w:p w:rsidR="00D858A2" w:rsidRPr="0066779F" w:rsidRDefault="00D858A2" w:rsidP="00D858A2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66779F">
        <w:rPr>
          <w:sz w:val="28"/>
          <w:szCs w:val="28"/>
        </w:rPr>
        <w:t>- 4 отдела администрации Сосновоборского городского округа</w:t>
      </w:r>
    </w:p>
    <w:p w:rsidR="00D858A2" w:rsidRDefault="00D858A2">
      <w:pPr>
        <w:rPr>
          <w:rFonts w:ascii="Times New Roman" w:hAnsi="Times New Roman" w:cs="Times New Roman"/>
          <w:sz w:val="28"/>
          <w:szCs w:val="28"/>
        </w:rPr>
      </w:pPr>
    </w:p>
    <w:p w:rsidR="00857468" w:rsidRPr="0066779F" w:rsidRDefault="00857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контрольных мероприятий:</w:t>
      </w:r>
    </w:p>
    <w:p w:rsidR="0066779F" w:rsidRDefault="00D858A2">
      <w:pPr>
        <w:rPr>
          <w:rFonts w:ascii="Times New Roman" w:hAnsi="Times New Roman" w:cs="Times New Roman"/>
          <w:sz w:val="28"/>
          <w:szCs w:val="28"/>
        </w:rPr>
      </w:pPr>
      <w:r w:rsidRPr="0066779F">
        <w:rPr>
          <w:rFonts w:ascii="Times New Roman" w:hAnsi="Times New Roman" w:cs="Times New Roman"/>
          <w:sz w:val="28"/>
          <w:szCs w:val="28"/>
        </w:rPr>
        <w:t xml:space="preserve">1. </w:t>
      </w:r>
      <w:r w:rsidR="0066779F" w:rsidRPr="0066779F">
        <w:rPr>
          <w:rFonts w:ascii="Times New Roman" w:hAnsi="Times New Roman" w:cs="Times New Roman"/>
          <w:iCs/>
          <w:sz w:val="28"/>
          <w:szCs w:val="28"/>
        </w:rPr>
        <w:t>Проведена внешняя проверка отчета по исполнению бюджета Сосновоборского городского округа за 2014 год, как в целом по городскому округа, так и по 6-ти главным распорядителям бюджетных средств.</w:t>
      </w:r>
    </w:p>
    <w:p w:rsidR="0066779F" w:rsidRPr="0066779F" w:rsidRDefault="0068786D" w:rsidP="0066779F">
      <w:pPr>
        <w:rPr>
          <w:rFonts w:ascii="Times New Roman" w:hAnsi="Times New Roman" w:cs="Times New Roman"/>
          <w:sz w:val="28"/>
          <w:szCs w:val="28"/>
        </w:rPr>
      </w:pPr>
      <w:r w:rsidRPr="0066779F">
        <w:rPr>
          <w:rFonts w:ascii="Times New Roman" w:hAnsi="Times New Roman" w:cs="Times New Roman"/>
          <w:sz w:val="28"/>
          <w:szCs w:val="28"/>
        </w:rPr>
        <w:t xml:space="preserve">2. </w:t>
      </w:r>
      <w:r w:rsidR="0066779F" w:rsidRPr="0066779F">
        <w:rPr>
          <w:rFonts w:ascii="Times New Roman" w:hAnsi="Times New Roman" w:cs="Times New Roman"/>
          <w:sz w:val="28"/>
          <w:szCs w:val="28"/>
        </w:rPr>
        <w:t>Проведено 2 контрольных мероприятия по аудиту в сфере закупок (одно контрольное мероприятие по решению комиссии совета депутатов) в 5-ти организациях, являющихся муниципальными заказчиками.</w:t>
      </w:r>
    </w:p>
    <w:p w:rsidR="0068786D" w:rsidRPr="0066779F" w:rsidRDefault="0068786D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8786D" w:rsidRPr="0066779F" w:rsidRDefault="0068786D" w:rsidP="0068786D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79F">
        <w:rPr>
          <w:rFonts w:ascii="Times New Roman" w:hAnsi="Times New Roman" w:cs="Times New Roman"/>
          <w:sz w:val="28"/>
          <w:szCs w:val="28"/>
        </w:rPr>
        <w:t>3. Проведено одно мероприятие по проверке выполнения адресной инвестиционной программы за счет средств местного бюджета в части строительства спортивного ядра в школе № 7.</w:t>
      </w:r>
    </w:p>
    <w:p w:rsidR="0068786D" w:rsidRPr="0066779F" w:rsidRDefault="0068786D">
      <w:pPr>
        <w:rPr>
          <w:rFonts w:ascii="Times New Roman" w:hAnsi="Times New Roman" w:cs="Times New Roman"/>
          <w:sz w:val="28"/>
          <w:szCs w:val="28"/>
        </w:rPr>
      </w:pPr>
    </w:p>
    <w:p w:rsidR="0068786D" w:rsidRPr="0066779F" w:rsidRDefault="0068786D" w:rsidP="0068786D">
      <w:pPr>
        <w:pStyle w:val="a4"/>
        <w:spacing w:after="0"/>
        <w:jc w:val="both"/>
        <w:rPr>
          <w:sz w:val="28"/>
          <w:szCs w:val="28"/>
        </w:rPr>
      </w:pPr>
      <w:r w:rsidRPr="0066779F">
        <w:rPr>
          <w:sz w:val="28"/>
          <w:szCs w:val="28"/>
        </w:rPr>
        <w:t>4. Совместно с комитетом финансов Сосновоборского городского округа проведено 2 контрольных мероприятия по проверке организации и ведению финансово-хозяйственной деятельности двух автономных учреждений культуры.</w:t>
      </w:r>
    </w:p>
    <w:p w:rsidR="0068786D" w:rsidRPr="0066779F" w:rsidRDefault="0068786D" w:rsidP="0068786D">
      <w:pPr>
        <w:pStyle w:val="a4"/>
        <w:spacing w:after="0"/>
        <w:jc w:val="both"/>
        <w:rPr>
          <w:sz w:val="28"/>
          <w:szCs w:val="28"/>
        </w:rPr>
      </w:pPr>
    </w:p>
    <w:p w:rsidR="0068786D" w:rsidRPr="0066779F" w:rsidRDefault="0068786D" w:rsidP="0068786D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79F">
        <w:rPr>
          <w:rFonts w:ascii="Times New Roman" w:hAnsi="Times New Roman" w:cs="Times New Roman"/>
          <w:sz w:val="28"/>
          <w:szCs w:val="28"/>
        </w:rPr>
        <w:t>5. Проведено 2 контрольных мероприятия по вопросам исполнения программных мероприятий в рамках двух муниципальных программ.</w:t>
      </w:r>
    </w:p>
    <w:p w:rsidR="0068786D" w:rsidRPr="0066779F" w:rsidRDefault="0068786D" w:rsidP="0068786D">
      <w:pPr>
        <w:pStyle w:val="a4"/>
        <w:spacing w:after="0"/>
        <w:jc w:val="both"/>
        <w:rPr>
          <w:sz w:val="28"/>
          <w:szCs w:val="28"/>
        </w:rPr>
      </w:pPr>
    </w:p>
    <w:p w:rsidR="0066779F" w:rsidRDefault="0068786D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6779F">
        <w:rPr>
          <w:rFonts w:ascii="Times New Roman" w:hAnsi="Times New Roman" w:cs="Times New Roman"/>
          <w:b w:val="0"/>
          <w:sz w:val="28"/>
          <w:szCs w:val="28"/>
        </w:rPr>
        <w:t>6.</w:t>
      </w:r>
      <w:r w:rsidR="0066779F" w:rsidRPr="0066779F">
        <w:rPr>
          <w:rFonts w:ascii="Times New Roman" w:hAnsi="Times New Roman" w:cs="Times New Roman"/>
          <w:b w:val="0"/>
          <w:sz w:val="28"/>
          <w:szCs w:val="28"/>
        </w:rPr>
        <w:t xml:space="preserve"> Проведено 2 контрольных мероприятия по проверке соблюдения порядка поступления доходов в бюджет городского округа, </w:t>
      </w:r>
      <w:proofErr w:type="spellStart"/>
      <w:r w:rsidR="0066779F" w:rsidRPr="0066779F">
        <w:rPr>
          <w:rFonts w:ascii="Times New Roman" w:hAnsi="Times New Roman" w:cs="Times New Roman"/>
          <w:b w:val="0"/>
          <w:sz w:val="28"/>
          <w:szCs w:val="28"/>
        </w:rPr>
        <w:t>администрируемых</w:t>
      </w:r>
      <w:proofErr w:type="spellEnd"/>
      <w:r w:rsidR="0066779F" w:rsidRPr="0066779F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органами исполнительной власти.</w:t>
      </w:r>
    </w:p>
    <w:p w:rsidR="0066779F" w:rsidRDefault="0066779F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779F" w:rsidRPr="00CC2D1F" w:rsidRDefault="0066779F" w:rsidP="0066779F">
      <w:pPr>
        <w:pStyle w:val="a3"/>
        <w:spacing w:before="0" w:beforeAutospacing="0" w:after="0" w:afterAutospacing="0"/>
        <w:ind w:firstLine="856"/>
        <w:jc w:val="both"/>
        <w:rPr>
          <w:sz w:val="28"/>
          <w:szCs w:val="28"/>
        </w:rPr>
      </w:pPr>
      <w:r w:rsidRPr="00CC2D1F">
        <w:rPr>
          <w:sz w:val="28"/>
          <w:szCs w:val="28"/>
        </w:rPr>
        <w:t>По результатам контрольных мероприятий составлено:</w:t>
      </w:r>
    </w:p>
    <w:p w:rsidR="0066779F" w:rsidRPr="00CC2D1F" w:rsidRDefault="0066779F" w:rsidP="0066779F">
      <w:pPr>
        <w:pStyle w:val="a3"/>
        <w:spacing w:before="0" w:beforeAutospacing="0" w:after="0" w:afterAutospacing="0"/>
        <w:ind w:firstLine="856"/>
        <w:jc w:val="both"/>
        <w:rPr>
          <w:sz w:val="28"/>
          <w:szCs w:val="28"/>
        </w:rPr>
      </w:pPr>
      <w:r w:rsidRPr="00CC2D1F">
        <w:rPr>
          <w:sz w:val="28"/>
          <w:szCs w:val="28"/>
        </w:rPr>
        <w:lastRenderedPageBreak/>
        <w:t>- 9 актов проверок и, кроме того, 3 акта встречных проверок в рамках проводимых контрольных мероприятий,</w:t>
      </w:r>
    </w:p>
    <w:p w:rsidR="0066779F" w:rsidRPr="00CC2D1F" w:rsidRDefault="0066779F" w:rsidP="0066779F">
      <w:pPr>
        <w:pStyle w:val="a3"/>
        <w:spacing w:before="0" w:beforeAutospacing="0" w:after="0" w:afterAutospacing="0"/>
        <w:ind w:firstLine="856"/>
        <w:jc w:val="both"/>
        <w:rPr>
          <w:sz w:val="28"/>
          <w:szCs w:val="28"/>
        </w:rPr>
      </w:pPr>
      <w:r w:rsidRPr="00CC2D1F">
        <w:rPr>
          <w:sz w:val="28"/>
          <w:szCs w:val="28"/>
        </w:rPr>
        <w:t xml:space="preserve">- 1 отчет по внешней проверке исполнения бюджета Сосновоборского городского округа за 2014 год и 5 актов проверок главных администраторов бюджетных средств по исполнению бюджета за 2014 год. </w:t>
      </w:r>
    </w:p>
    <w:p w:rsidR="0066779F" w:rsidRPr="00CC2D1F" w:rsidRDefault="0066779F" w:rsidP="0066779F">
      <w:pPr>
        <w:pStyle w:val="a3"/>
        <w:ind w:firstLine="855"/>
        <w:jc w:val="both"/>
        <w:rPr>
          <w:sz w:val="28"/>
          <w:szCs w:val="28"/>
        </w:rPr>
      </w:pPr>
      <w:r w:rsidRPr="00CC2D1F">
        <w:rPr>
          <w:sz w:val="28"/>
          <w:szCs w:val="28"/>
        </w:rPr>
        <w:t>Для принятия управленческих решений по устранению выявленных нарушений и недостатков должностным лицам органов местного самоуправления и отраслевых, функциональных органов администрации округа, руководителям проверенных муниципальных учреждений и муниципальных предприятий направлено 14 представлений.</w:t>
      </w:r>
    </w:p>
    <w:p w:rsidR="0066779F" w:rsidRPr="00CC2D1F" w:rsidRDefault="0066779F" w:rsidP="0066779F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CC2D1F">
        <w:rPr>
          <w:sz w:val="28"/>
          <w:szCs w:val="28"/>
        </w:rPr>
        <w:t>Объем проверенных бюджетных средств составил 389 954,6 тыс. руб., из них:</w:t>
      </w:r>
    </w:p>
    <w:p w:rsidR="0066779F" w:rsidRPr="00CC2D1F" w:rsidRDefault="0066779F" w:rsidP="0066779F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CC2D1F">
        <w:rPr>
          <w:sz w:val="28"/>
          <w:szCs w:val="28"/>
        </w:rPr>
        <w:t>- средства бюджета по доходам в сумме 254 551,7 тыс. руб.,</w:t>
      </w:r>
    </w:p>
    <w:p w:rsidR="0066779F" w:rsidRPr="00CC2D1F" w:rsidRDefault="0066779F" w:rsidP="0066779F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CC2D1F">
        <w:rPr>
          <w:sz w:val="28"/>
          <w:szCs w:val="28"/>
        </w:rPr>
        <w:t>- расходные обязательства в сумме 137 402,9 тыс. руб.</w:t>
      </w:r>
    </w:p>
    <w:p w:rsidR="0066779F" w:rsidRPr="00CC2D1F" w:rsidRDefault="0066779F" w:rsidP="0066779F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</w:p>
    <w:p w:rsidR="0066779F" w:rsidRPr="00CC2D1F" w:rsidRDefault="0066779F" w:rsidP="0066779F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CC2D1F">
        <w:rPr>
          <w:sz w:val="28"/>
          <w:szCs w:val="28"/>
        </w:rPr>
        <w:t>В результате несоблюдения объектами контроля отдельных нормативно-правовых актов установлено финансовых нарушений на сумму 59 927,2 тыс. руб., в том числе:</w:t>
      </w:r>
    </w:p>
    <w:p w:rsidR="0066779F" w:rsidRPr="00CC2D1F" w:rsidRDefault="0066779F" w:rsidP="0066779F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CC2D1F">
        <w:rPr>
          <w:sz w:val="28"/>
          <w:szCs w:val="28"/>
        </w:rPr>
        <w:t>- Нецелевого использования бюджетных средств не выявлено.</w:t>
      </w:r>
    </w:p>
    <w:p w:rsidR="0066779F" w:rsidRPr="00CC2D1F" w:rsidRDefault="0066779F" w:rsidP="0066779F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CC2D1F">
        <w:rPr>
          <w:sz w:val="28"/>
          <w:szCs w:val="28"/>
        </w:rPr>
        <w:t>- Неэффективное использование бюджетных средств - 26 078,3 тыс. руб.</w:t>
      </w:r>
    </w:p>
    <w:p w:rsidR="0066779F" w:rsidRPr="00CC2D1F" w:rsidRDefault="0066779F" w:rsidP="0066779F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CC2D1F">
        <w:rPr>
          <w:sz w:val="28"/>
          <w:szCs w:val="28"/>
        </w:rPr>
        <w:t>- Упущенная выгода для бюджета – 1 033,5 тыс. руб.</w:t>
      </w:r>
    </w:p>
    <w:p w:rsidR="0066779F" w:rsidRPr="00CC2D1F" w:rsidRDefault="0066779F" w:rsidP="0066779F">
      <w:pPr>
        <w:pStyle w:val="a3"/>
        <w:spacing w:before="0" w:beforeAutospacing="0" w:after="0" w:afterAutospacing="0"/>
        <w:ind w:firstLine="799"/>
        <w:jc w:val="both"/>
        <w:rPr>
          <w:sz w:val="28"/>
          <w:szCs w:val="28"/>
        </w:rPr>
      </w:pPr>
      <w:r w:rsidRPr="00CC2D1F">
        <w:rPr>
          <w:sz w:val="28"/>
          <w:szCs w:val="28"/>
        </w:rPr>
        <w:t>- Иные финансовые нарушения – 32 815,4 тыс. руб.</w:t>
      </w:r>
    </w:p>
    <w:p w:rsidR="0066779F" w:rsidRPr="00CC2D1F" w:rsidRDefault="0066779F" w:rsidP="0066779F">
      <w:pPr>
        <w:pStyle w:val="a3"/>
        <w:spacing w:before="0" w:beforeAutospacing="0" w:after="0" w:afterAutospacing="0"/>
        <w:ind w:firstLine="856"/>
        <w:jc w:val="both"/>
        <w:rPr>
          <w:sz w:val="28"/>
          <w:szCs w:val="28"/>
        </w:rPr>
      </w:pPr>
    </w:p>
    <w:p w:rsidR="0066779F" w:rsidRDefault="0066779F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6779F" w:rsidRPr="00CC2D1F" w:rsidRDefault="0066779F" w:rsidP="0066779F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C2D1F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средств:</w:t>
      </w:r>
    </w:p>
    <w:p w:rsidR="00F55CD5" w:rsidRPr="00CC2D1F" w:rsidRDefault="00F55CD5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55CD5" w:rsidRPr="00CC2D1F" w:rsidRDefault="00857468" w:rsidP="00F55C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Согласно с</w:t>
      </w:r>
      <w:r w:rsidR="00F55CD5" w:rsidRPr="00CC2D1F">
        <w:rPr>
          <w:rFonts w:ascii="Times New Roman" w:hAnsi="Times New Roman" w:cs="Times New Roman"/>
          <w:b w:val="0"/>
          <w:sz w:val="28"/>
          <w:szCs w:val="28"/>
        </w:rPr>
        <w:t xml:space="preserve">т. 34 БК </w:t>
      </w:r>
      <w:r>
        <w:rPr>
          <w:rFonts w:ascii="Times New Roman" w:hAnsi="Times New Roman" w:cs="Times New Roman"/>
          <w:b w:val="0"/>
          <w:sz w:val="28"/>
          <w:szCs w:val="28"/>
        </w:rPr>
        <w:t>РФ п</w:t>
      </w:r>
      <w:r w:rsidR="00F55CD5" w:rsidRPr="00CC2D1F">
        <w:rPr>
          <w:rFonts w:ascii="Times New Roman" w:hAnsi="Times New Roman" w:cs="Times New Roman"/>
          <w:b w:val="0"/>
          <w:sz w:val="28"/>
          <w:szCs w:val="28"/>
        </w:rPr>
        <w:t>ринцип эффективности использования бюджетных средств означает, что при составлении и исполнении бюджетов участники бюджетного процесса в рамках установленных им бюджетных полномочий должны исходить из необходимости</w:t>
      </w:r>
    </w:p>
    <w:p w:rsidR="00F55CD5" w:rsidRPr="00CC2D1F" w:rsidRDefault="00F55CD5" w:rsidP="00F55C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2D1F">
        <w:rPr>
          <w:rFonts w:ascii="Times New Roman" w:hAnsi="Times New Roman" w:cs="Times New Roman"/>
          <w:b w:val="0"/>
          <w:sz w:val="28"/>
          <w:szCs w:val="28"/>
        </w:rPr>
        <w:t>-  достижения заданных результатов с использованием наименьшего объема средств (экономности) и (или)</w:t>
      </w:r>
    </w:p>
    <w:p w:rsidR="00F55CD5" w:rsidRPr="00CC2D1F" w:rsidRDefault="00F55CD5" w:rsidP="00F55CD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2D1F">
        <w:rPr>
          <w:rFonts w:ascii="Times New Roman" w:hAnsi="Times New Roman" w:cs="Times New Roman"/>
          <w:b w:val="0"/>
          <w:sz w:val="28"/>
          <w:szCs w:val="28"/>
        </w:rPr>
        <w:t>- достижения наилучшего результата с использованием определенного бюджетом объема средств (результативности).</w:t>
      </w:r>
    </w:p>
    <w:p w:rsidR="00F55CD5" w:rsidRPr="00CC2D1F" w:rsidRDefault="00F55CD5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F55CD5" w:rsidRPr="00CC2D1F" w:rsidRDefault="00857468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Результаты проверок:</w:t>
      </w:r>
    </w:p>
    <w:p w:rsidR="00F55CD5" w:rsidRPr="00CC2D1F" w:rsidRDefault="00F55CD5" w:rsidP="00F55C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1F">
        <w:rPr>
          <w:rFonts w:ascii="Times New Roman" w:hAnsi="Times New Roman" w:cs="Times New Roman"/>
          <w:sz w:val="28"/>
          <w:szCs w:val="28"/>
        </w:rPr>
        <w:t>-  аудит в сфере закупок по 1-му контракту на сумму 102,0 тыс. руб. (Завышение стоимости  оказания услуг за летний период 2014 года в сумме 102,0 тыс. руб. при составлении к</w:t>
      </w:r>
      <w:r w:rsidRPr="00CC2D1F">
        <w:rPr>
          <w:rFonts w:ascii="Times New Roman" w:hAnsi="Times New Roman" w:cs="Times New Roman"/>
          <w:bCs/>
          <w:sz w:val="28"/>
          <w:szCs w:val="28"/>
        </w:rPr>
        <w:t xml:space="preserve">алькуляции стоимости оказания услуг </w:t>
      </w:r>
      <w:r w:rsidRPr="00CC2D1F">
        <w:rPr>
          <w:rFonts w:ascii="Times New Roman" w:hAnsi="Times New Roman" w:cs="Times New Roman"/>
          <w:sz w:val="28"/>
          <w:szCs w:val="28"/>
        </w:rPr>
        <w:t xml:space="preserve">по содержанию парка «Приморский»  и поймы р. </w:t>
      </w:r>
      <w:proofErr w:type="spellStart"/>
      <w:r w:rsidRPr="00CC2D1F">
        <w:rPr>
          <w:rFonts w:ascii="Times New Roman" w:hAnsi="Times New Roman" w:cs="Times New Roman"/>
          <w:sz w:val="28"/>
          <w:szCs w:val="28"/>
        </w:rPr>
        <w:t>Коваш</w:t>
      </w:r>
      <w:r w:rsidR="0085746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C2D1F">
        <w:rPr>
          <w:rFonts w:ascii="Times New Roman" w:hAnsi="Times New Roman" w:cs="Times New Roman"/>
          <w:sz w:val="28"/>
          <w:szCs w:val="28"/>
        </w:rPr>
        <w:t>).</w:t>
      </w:r>
    </w:p>
    <w:p w:rsidR="00F55CD5" w:rsidRPr="00CC2D1F" w:rsidRDefault="00F55CD5" w:rsidP="00F55CD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2D1F">
        <w:rPr>
          <w:rFonts w:ascii="Times New Roman" w:hAnsi="Times New Roman" w:cs="Times New Roman"/>
          <w:sz w:val="28"/>
          <w:szCs w:val="28"/>
        </w:rPr>
        <w:t>- проверка инвестиционной программы «строительство спорт</w:t>
      </w:r>
      <w:proofErr w:type="gramStart"/>
      <w:r w:rsidRPr="00CC2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2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D1F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C2D1F">
        <w:rPr>
          <w:rFonts w:ascii="Times New Roman" w:hAnsi="Times New Roman" w:cs="Times New Roman"/>
          <w:sz w:val="28"/>
          <w:szCs w:val="28"/>
        </w:rPr>
        <w:t xml:space="preserve">дра в </w:t>
      </w:r>
      <w:proofErr w:type="spellStart"/>
      <w:r w:rsidRPr="00CC2D1F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CC2D1F">
        <w:rPr>
          <w:rFonts w:ascii="Times New Roman" w:hAnsi="Times New Roman" w:cs="Times New Roman"/>
          <w:sz w:val="28"/>
          <w:szCs w:val="28"/>
        </w:rPr>
        <w:t xml:space="preserve">. № 7 на сумму  3910,8 тыс. руб., из них 249,6 тыс. руб. - Завышение стоимости договора по строительству спортивного ядра МБОУ «СОШ №7»; 212,328 тыс. руб. на приобретение оборудования для прыжков в высоту </w:t>
      </w:r>
      <w:r w:rsidRPr="00CC2D1F">
        <w:rPr>
          <w:rFonts w:ascii="Times New Roman" w:hAnsi="Times New Roman" w:cs="Times New Roman"/>
          <w:sz w:val="28"/>
          <w:szCs w:val="28"/>
        </w:rPr>
        <w:lastRenderedPageBreak/>
        <w:t>является неэффективным использованием бюджетных средств</w:t>
      </w:r>
      <w:proofErr w:type="gramStart"/>
      <w:r w:rsidRPr="00CC2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C2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D1F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Pr="00CC2D1F">
        <w:rPr>
          <w:rFonts w:ascii="Times New Roman" w:hAnsi="Times New Roman" w:cs="Times New Roman"/>
          <w:color w:val="000000"/>
          <w:sz w:val="28"/>
          <w:szCs w:val="28"/>
        </w:rPr>
        <w:t xml:space="preserve">юджетные инвестиции </w:t>
      </w:r>
      <w:r w:rsidRPr="00CC2D1F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Pr="00CC2D1F">
        <w:rPr>
          <w:rFonts w:ascii="Times New Roman" w:hAnsi="Times New Roman" w:cs="Times New Roman"/>
          <w:color w:val="000000"/>
          <w:sz w:val="28"/>
          <w:szCs w:val="28"/>
        </w:rPr>
        <w:t>3 448, 864 тыс. руб. на устройство детской спортивно - игровой площадки  при МБОУ «СОШ №7» не освоены.</w:t>
      </w:r>
    </w:p>
    <w:p w:rsidR="00F55CD5" w:rsidRPr="00CC2D1F" w:rsidRDefault="00F55CD5" w:rsidP="00F55CD5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664" w:rsidRPr="00CC2D1F" w:rsidRDefault="00F55CD5" w:rsidP="00C446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1F">
        <w:rPr>
          <w:rFonts w:ascii="Times New Roman" w:hAnsi="Times New Roman" w:cs="Times New Roman"/>
          <w:color w:val="000000"/>
          <w:sz w:val="28"/>
          <w:szCs w:val="28"/>
        </w:rPr>
        <w:t>- в ходе проверки мероприятий подпрограммы «Молодежная политика»</w:t>
      </w:r>
      <w:r w:rsidR="00C44664" w:rsidRPr="00CC2D1F">
        <w:rPr>
          <w:rFonts w:ascii="Times New Roman" w:hAnsi="Times New Roman" w:cs="Times New Roman"/>
          <w:color w:val="000000"/>
          <w:sz w:val="28"/>
          <w:szCs w:val="28"/>
        </w:rPr>
        <w:t xml:space="preserve"> в сумме 118,0 тыс. руб. </w:t>
      </w:r>
      <w:r w:rsidR="00C44664" w:rsidRPr="00CC2D1F">
        <w:rPr>
          <w:rFonts w:ascii="Times New Roman" w:hAnsi="Times New Roman" w:cs="Times New Roman"/>
          <w:sz w:val="28"/>
          <w:szCs w:val="28"/>
        </w:rPr>
        <w:t>Средства бюджета в сумме 99,0тыс. руб. использованы на  проектные работы  по устройству внутренних сетей отопления, водоснабжения и канализации и электрических сетей в помещении по адресу ул. Ленинградская, д. 54. Сами работы в дальнейшем не проведены в связи с изъятием указанных помещений из оперативного управления  МАУ «СГМСЦ». В сумме 19,0 тыс. руб. на проведение мероприятия по поддержке деятельности молодых художников. Фактически проведено не мероприятие, а заключен договор гражданско-правового характера с физическим лицом на оказание услуг по  нанесению графического рисунка на стены помещения МАУ «СГМСЦ».</w:t>
      </w:r>
    </w:p>
    <w:p w:rsidR="00C44664" w:rsidRPr="00CC2D1F" w:rsidRDefault="00C44664" w:rsidP="00C4466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C2D1F">
        <w:rPr>
          <w:rFonts w:ascii="Times New Roman" w:hAnsi="Times New Roman" w:cs="Times New Roman"/>
          <w:sz w:val="28"/>
          <w:szCs w:val="28"/>
        </w:rPr>
        <w:t xml:space="preserve">- в сумме 2400,0 тыс. руб. при проверке </w:t>
      </w:r>
      <w:r w:rsidR="00CC2D1F">
        <w:rPr>
          <w:rFonts w:ascii="Times New Roman" w:hAnsi="Times New Roman" w:cs="Times New Roman"/>
          <w:sz w:val="28"/>
          <w:szCs w:val="28"/>
        </w:rPr>
        <w:t xml:space="preserve">МП </w:t>
      </w:r>
      <w:r w:rsidRPr="00CC2D1F"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 </w:t>
      </w:r>
      <w:proofErr w:type="gramStart"/>
      <w:r w:rsidRPr="00CC2D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2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2D1F">
        <w:rPr>
          <w:rFonts w:ascii="Times New Roman" w:hAnsi="Times New Roman" w:cs="Times New Roman"/>
          <w:sz w:val="28"/>
          <w:szCs w:val="28"/>
        </w:rPr>
        <w:t>Сосновоборском</w:t>
      </w:r>
      <w:proofErr w:type="gramEnd"/>
      <w:r w:rsidRPr="00CC2D1F">
        <w:rPr>
          <w:rFonts w:ascii="Times New Roman" w:hAnsi="Times New Roman" w:cs="Times New Roman"/>
          <w:sz w:val="28"/>
          <w:szCs w:val="28"/>
        </w:rPr>
        <w:t xml:space="preserve"> городском округе Ленинградской области на 2014-2020 годы» из них: 200,0 тыс. руб. не освоены денежные средства и не выполнены мероприятия по созданию дополнительного канала радиовещания на территории Сосновоборского городского округа); в сумме  2206,2 тыс. руб. по состоянию на 01.12.2015 не использованы бюджетные средства 2015 года и не проведены мероприятия в рамках подпрограммы. В программу изменения не вносились. В декабре уточнение бюджета сняли из расходов.</w:t>
      </w:r>
    </w:p>
    <w:p w:rsidR="00CC2D1F" w:rsidRPr="00CC2D1F" w:rsidRDefault="00CC2D1F" w:rsidP="00C4466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C2D1F" w:rsidRPr="00CC2D1F" w:rsidRDefault="00CC2D1F" w:rsidP="00C44664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C2D1F">
        <w:rPr>
          <w:rFonts w:ascii="Times New Roman" w:hAnsi="Times New Roman" w:cs="Times New Roman"/>
          <w:sz w:val="28"/>
          <w:szCs w:val="28"/>
        </w:rPr>
        <w:t xml:space="preserve">- в сумме 19547,4 тыс. руб. при проведении внешней проверки  отчета об исполнении бюджета за 2014 год, из них: </w:t>
      </w:r>
    </w:p>
    <w:p w:rsidR="00F55CD5" w:rsidRPr="00CC2D1F" w:rsidRDefault="00F55CD5" w:rsidP="00F55CD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D1F" w:rsidRPr="00CC2D1F" w:rsidRDefault="00CC2D1F" w:rsidP="00CC2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1F">
        <w:rPr>
          <w:rFonts w:ascii="Times New Roman" w:hAnsi="Times New Roman" w:cs="Times New Roman"/>
          <w:sz w:val="28"/>
          <w:szCs w:val="28"/>
        </w:rPr>
        <w:t xml:space="preserve">в результате нарушения срока предоставления целевой субсидии </w:t>
      </w:r>
      <w:r w:rsidRPr="00CC2D1F">
        <w:rPr>
          <w:rFonts w:ascii="Times New Roman" w:hAnsi="Times New Roman" w:cs="Times New Roman"/>
          <w:bCs/>
          <w:iCs/>
          <w:sz w:val="28"/>
          <w:szCs w:val="28"/>
        </w:rPr>
        <w:t>МАУ</w:t>
      </w:r>
      <w:r w:rsidRPr="00CC2D1F">
        <w:rPr>
          <w:rFonts w:ascii="Times New Roman" w:hAnsi="Times New Roman" w:cs="Times New Roman"/>
          <w:sz w:val="28"/>
          <w:szCs w:val="28"/>
        </w:rPr>
        <w:t xml:space="preserve"> ЦСПП «Семья» Комитетом социальной защиты населения не исполнены расходы по предоставлению сре</w:t>
      </w:r>
      <w:proofErr w:type="gramStart"/>
      <w:r w:rsidRPr="00CC2D1F">
        <w:rPr>
          <w:rFonts w:ascii="Times New Roman" w:hAnsi="Times New Roman" w:cs="Times New Roman"/>
          <w:sz w:val="28"/>
          <w:szCs w:val="28"/>
        </w:rPr>
        <w:t>дств в</w:t>
      </w:r>
      <w:r w:rsidRPr="00CC2D1F">
        <w:rPr>
          <w:rFonts w:ascii="Times New Roman" w:hAnsi="Times New Roman" w:cs="Times New Roman"/>
          <w:bCs/>
          <w:iCs/>
          <w:sz w:val="28"/>
          <w:szCs w:val="28"/>
        </w:rPr>
        <w:t xml:space="preserve">  с</w:t>
      </w:r>
      <w:proofErr w:type="gramEnd"/>
      <w:r w:rsidRPr="00CC2D1F">
        <w:rPr>
          <w:rFonts w:ascii="Times New Roman" w:hAnsi="Times New Roman" w:cs="Times New Roman"/>
          <w:bCs/>
          <w:iCs/>
          <w:sz w:val="28"/>
          <w:szCs w:val="28"/>
        </w:rPr>
        <w:t xml:space="preserve">умме </w:t>
      </w:r>
      <w:r w:rsidRPr="00CC2D1F">
        <w:rPr>
          <w:rFonts w:ascii="Times New Roman" w:hAnsi="Times New Roman" w:cs="Times New Roman"/>
          <w:sz w:val="28"/>
          <w:szCs w:val="28"/>
        </w:rPr>
        <w:t xml:space="preserve"> 3 047, 8 тыс. руб.,</w:t>
      </w:r>
    </w:p>
    <w:p w:rsidR="00CC2D1F" w:rsidRPr="00CC2D1F" w:rsidRDefault="00CC2D1F" w:rsidP="00CC2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1F">
        <w:rPr>
          <w:rFonts w:ascii="Times New Roman" w:hAnsi="Times New Roman" w:cs="Times New Roman"/>
          <w:sz w:val="28"/>
          <w:szCs w:val="28"/>
        </w:rPr>
        <w:t xml:space="preserve"> в результате несогласованных действий между ГАБС по исполнению полномочий (КУМИ и Администрация) имеет место неисполнение бюджета и неэффективное использование бюджетных сре</w:t>
      </w:r>
      <w:proofErr w:type="gramStart"/>
      <w:r w:rsidRPr="00CC2D1F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CC2D1F">
        <w:rPr>
          <w:rFonts w:ascii="Times New Roman" w:hAnsi="Times New Roman" w:cs="Times New Roman"/>
          <w:sz w:val="28"/>
          <w:szCs w:val="28"/>
        </w:rPr>
        <w:t>умме 8 047, 390 тыс. руб.,</w:t>
      </w:r>
    </w:p>
    <w:p w:rsidR="00CC2D1F" w:rsidRPr="00CC2D1F" w:rsidRDefault="00CC2D1F" w:rsidP="00CC2D1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C2D1F">
        <w:rPr>
          <w:rFonts w:ascii="Times New Roman" w:hAnsi="Times New Roman" w:cs="Times New Roman"/>
          <w:sz w:val="28"/>
          <w:szCs w:val="28"/>
        </w:rPr>
        <w:t>в результате не выполнения требования п. 5.2 Постановления администрации Сосновоборского городского округа от 04.02.2014 № 169 «О мерах по реализации в 2014 году решения совета депутатов «О бюджете Сосновоборского городского округа на 2014 год и плановый период 2015 и 2016 годов»» КУМИ не разработан Порядок предоставления субсидии, в результате неисполнение бюджета составило 28,5 тыс. руб.,</w:t>
      </w:r>
      <w:proofErr w:type="gramEnd"/>
    </w:p>
    <w:p w:rsidR="00CC2D1F" w:rsidRDefault="00CC2D1F" w:rsidP="00CC2D1F">
      <w:pPr>
        <w:numPr>
          <w:ilvl w:val="0"/>
          <w:numId w:val="2"/>
        </w:numPr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D1F">
        <w:rPr>
          <w:rFonts w:ascii="Times New Roman" w:hAnsi="Times New Roman" w:cs="Times New Roman"/>
          <w:sz w:val="28"/>
          <w:szCs w:val="28"/>
        </w:rPr>
        <w:t>Администрацией Сосновоборского городского округа не исполнены расходы в сумме 8423,7 тыс. руб. в связи с не полностью выполненным муниципальным заданием СМБУ "</w:t>
      </w:r>
      <w:proofErr w:type="spellStart"/>
      <w:r w:rsidRPr="00CC2D1F">
        <w:rPr>
          <w:rFonts w:ascii="Times New Roman" w:hAnsi="Times New Roman" w:cs="Times New Roman"/>
          <w:sz w:val="28"/>
          <w:szCs w:val="28"/>
        </w:rPr>
        <w:t>Спецавтотранс</w:t>
      </w:r>
      <w:proofErr w:type="spellEnd"/>
      <w:r w:rsidRPr="00CC2D1F">
        <w:rPr>
          <w:rFonts w:ascii="Times New Roman" w:hAnsi="Times New Roman" w:cs="Times New Roman"/>
          <w:sz w:val="28"/>
          <w:szCs w:val="28"/>
        </w:rPr>
        <w:t xml:space="preserve">", что </w:t>
      </w:r>
      <w:r w:rsidRPr="00CC2D1F">
        <w:rPr>
          <w:rFonts w:ascii="Times New Roman" w:hAnsi="Times New Roman" w:cs="Times New Roman"/>
          <w:sz w:val="28"/>
          <w:szCs w:val="28"/>
        </w:rPr>
        <w:lastRenderedPageBreak/>
        <w:t>свидетельствует о недостаточном мониторинге со стороны ГРБС за выполнением муниципального задания бюджетным учреждением и своевременного внесения  предложений об изменении размеров субсидий на выполнение муниципальных заданий муниципальных бюджетных и автономных учреждений, и является неисполнением пункта 5.14 Постановления № 169</w:t>
      </w:r>
      <w:proofErr w:type="gramEnd"/>
      <w:r w:rsidRPr="00CC2D1F">
        <w:rPr>
          <w:rFonts w:ascii="Times New Roman" w:hAnsi="Times New Roman" w:cs="Times New Roman"/>
          <w:sz w:val="28"/>
          <w:szCs w:val="28"/>
        </w:rPr>
        <w:t xml:space="preserve"> «О мерах по реализации в 2014 году решения совета депутатов «О бюджете Сосновоборского городского округа на 2014 год и плановый период 2015 и 2016 годов»».</w:t>
      </w:r>
    </w:p>
    <w:p w:rsidR="00CC2D1F" w:rsidRDefault="00CC2D1F" w:rsidP="00CC2D1F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C2D1F" w:rsidRPr="00CC2D1F" w:rsidRDefault="00CC2D1F" w:rsidP="00CC2D1F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55CD5" w:rsidRPr="00CC2D1F" w:rsidRDefault="00CC2D1F" w:rsidP="00F55C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D1F">
        <w:rPr>
          <w:rFonts w:ascii="Times New Roman" w:hAnsi="Times New Roman" w:cs="Times New Roman"/>
          <w:b/>
          <w:sz w:val="28"/>
          <w:szCs w:val="28"/>
        </w:rPr>
        <w:t>Упущенная выгода для бюджета</w:t>
      </w:r>
    </w:p>
    <w:p w:rsidR="0066779F" w:rsidRPr="00A120D8" w:rsidRDefault="00CC2D1F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20D8">
        <w:rPr>
          <w:rFonts w:ascii="Times New Roman" w:hAnsi="Times New Roman" w:cs="Times New Roman"/>
          <w:b w:val="0"/>
          <w:sz w:val="28"/>
          <w:szCs w:val="28"/>
        </w:rPr>
        <w:t xml:space="preserve">- сумме 0,4 тыс. руб. занижена сумма </w:t>
      </w:r>
      <w:proofErr w:type="gramStart"/>
      <w:r w:rsidRPr="00A120D8">
        <w:rPr>
          <w:rFonts w:ascii="Times New Roman" w:hAnsi="Times New Roman" w:cs="Times New Roman"/>
          <w:b w:val="0"/>
          <w:sz w:val="28"/>
          <w:szCs w:val="28"/>
        </w:rPr>
        <w:t>предъявленных</w:t>
      </w:r>
      <w:proofErr w:type="gramEnd"/>
      <w:r w:rsidRPr="00A120D8">
        <w:rPr>
          <w:rFonts w:ascii="Times New Roman" w:hAnsi="Times New Roman" w:cs="Times New Roman"/>
          <w:b w:val="0"/>
          <w:sz w:val="28"/>
          <w:szCs w:val="28"/>
        </w:rPr>
        <w:t xml:space="preserve"> пени за нарушение срока исполнения контракта</w:t>
      </w:r>
      <w:r w:rsidR="00A120D8" w:rsidRPr="00A120D8">
        <w:rPr>
          <w:rFonts w:ascii="Times New Roman" w:hAnsi="Times New Roman" w:cs="Times New Roman"/>
          <w:b w:val="0"/>
          <w:sz w:val="28"/>
          <w:szCs w:val="28"/>
        </w:rPr>
        <w:t>; в сумме 212,8 тыс. руб. в связи с нарушением срока исполнения контракта не рассчитана сумма пени в размере 212,8 тыс. руб.</w:t>
      </w:r>
    </w:p>
    <w:p w:rsidR="00CC2D1F" w:rsidRPr="00A120D8" w:rsidRDefault="00CC2D1F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CC2D1F" w:rsidRPr="00A120D8" w:rsidRDefault="00CC2D1F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20D8">
        <w:rPr>
          <w:rFonts w:ascii="Times New Roman" w:hAnsi="Times New Roman" w:cs="Times New Roman"/>
          <w:b w:val="0"/>
          <w:sz w:val="28"/>
          <w:szCs w:val="28"/>
        </w:rPr>
        <w:t xml:space="preserve">- в сумме 745,5 тыс. руб. </w:t>
      </w:r>
      <w:r w:rsidR="00A120D8" w:rsidRPr="00A120D8">
        <w:rPr>
          <w:rFonts w:ascii="Times New Roman" w:hAnsi="Times New Roman" w:cs="Times New Roman"/>
          <w:b w:val="0"/>
          <w:sz w:val="28"/>
          <w:szCs w:val="28"/>
        </w:rPr>
        <w:t>не начислены и не предъявлены к уплате пени за 2013-2014 годы по договорам аренды земельных участков</w:t>
      </w:r>
    </w:p>
    <w:p w:rsidR="00A120D8" w:rsidRPr="00A120D8" w:rsidRDefault="00A120D8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20D8" w:rsidRPr="00A120D8" w:rsidRDefault="00A120D8" w:rsidP="00A120D8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20D8">
        <w:rPr>
          <w:rFonts w:ascii="Times New Roman" w:hAnsi="Times New Roman" w:cs="Times New Roman"/>
          <w:sz w:val="28"/>
          <w:szCs w:val="28"/>
        </w:rPr>
        <w:t>- в сумме 74,8 тыс. руб. в результате освобождения юридического лица от уплаты восстановительной стоимости зеленых насаждений не предусмотренного методикой расчета.</w:t>
      </w:r>
    </w:p>
    <w:p w:rsidR="00A120D8" w:rsidRPr="00CC2D1F" w:rsidRDefault="00A120D8" w:rsidP="0066779F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858A2" w:rsidRDefault="00A120D8" w:rsidP="0066779F">
      <w:pPr>
        <w:pStyle w:val="a4"/>
        <w:spacing w:after="0"/>
        <w:jc w:val="both"/>
        <w:rPr>
          <w:b/>
          <w:sz w:val="28"/>
          <w:szCs w:val="28"/>
        </w:rPr>
      </w:pPr>
      <w:r w:rsidRPr="00A120D8">
        <w:rPr>
          <w:b/>
          <w:sz w:val="28"/>
          <w:szCs w:val="28"/>
        </w:rPr>
        <w:t>Иные финансовые нарушения</w:t>
      </w:r>
    </w:p>
    <w:p w:rsidR="00A120D8" w:rsidRDefault="00A120D8" w:rsidP="0066779F">
      <w:pPr>
        <w:pStyle w:val="a4"/>
        <w:spacing w:after="0"/>
        <w:jc w:val="both"/>
        <w:rPr>
          <w:b/>
          <w:sz w:val="28"/>
          <w:szCs w:val="28"/>
        </w:rPr>
      </w:pPr>
    </w:p>
    <w:p w:rsidR="00A120D8" w:rsidRPr="00697200" w:rsidRDefault="00A120D8" w:rsidP="00934D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7200">
        <w:rPr>
          <w:rFonts w:ascii="Times New Roman" w:hAnsi="Times New Roman" w:cs="Times New Roman"/>
          <w:sz w:val="28"/>
          <w:szCs w:val="28"/>
        </w:rPr>
        <w:t>- в сумме 82,2 тыс. руб. В контрактах неправильно определен фиксированный размер штрафа – занижение составило 82,2 тыс. руб., что могло привести к рискам в виде упущенной выгоды для бюджета.</w:t>
      </w:r>
      <w:r w:rsidR="00934D55" w:rsidRPr="00697200">
        <w:rPr>
          <w:rFonts w:ascii="Times New Roman" w:hAnsi="Times New Roman" w:cs="Times New Roman"/>
          <w:sz w:val="28"/>
          <w:szCs w:val="28"/>
        </w:rPr>
        <w:t xml:space="preserve">  На 53,3 тыс. руб. завышена сумма штрафа.</w:t>
      </w:r>
    </w:p>
    <w:p w:rsidR="00A120D8" w:rsidRPr="00697200" w:rsidRDefault="00A120D8" w:rsidP="0066779F">
      <w:pPr>
        <w:pStyle w:val="a4"/>
        <w:spacing w:after="0"/>
        <w:jc w:val="both"/>
        <w:rPr>
          <w:sz w:val="28"/>
          <w:szCs w:val="28"/>
        </w:rPr>
      </w:pPr>
      <w:r w:rsidRPr="00697200">
        <w:rPr>
          <w:sz w:val="28"/>
          <w:szCs w:val="28"/>
        </w:rPr>
        <w:t>-</w:t>
      </w:r>
      <w:r w:rsidR="00934D55" w:rsidRPr="00697200">
        <w:rPr>
          <w:sz w:val="28"/>
          <w:szCs w:val="28"/>
        </w:rPr>
        <w:t xml:space="preserve"> в КУМИ факты несоответствия управленческого учета (данные в реестрах по договорам аренды, договорам продажи земельных участков) данным бюджетного учета (данные, отраженные в регистрах бухгалтерского учета). В Бюджетном учете занижено доходов на 5342, 5 тыс. руб.</w:t>
      </w:r>
    </w:p>
    <w:p w:rsidR="00934D55" w:rsidRPr="00697200" w:rsidRDefault="00934D55" w:rsidP="0066779F">
      <w:pPr>
        <w:pStyle w:val="a4"/>
        <w:spacing w:after="0"/>
        <w:jc w:val="both"/>
        <w:rPr>
          <w:sz w:val="28"/>
          <w:szCs w:val="28"/>
        </w:rPr>
      </w:pPr>
    </w:p>
    <w:p w:rsidR="00934D55" w:rsidRDefault="00934D55" w:rsidP="0066779F">
      <w:pPr>
        <w:pStyle w:val="a4"/>
        <w:spacing w:after="0"/>
        <w:jc w:val="both"/>
        <w:rPr>
          <w:sz w:val="28"/>
          <w:szCs w:val="28"/>
        </w:rPr>
      </w:pPr>
      <w:r w:rsidRPr="00697200">
        <w:rPr>
          <w:sz w:val="28"/>
          <w:szCs w:val="28"/>
        </w:rPr>
        <w:t>- в сумме 136,2 тыс. руб. неправомерно начислена оплата труда руководителям автономных учреждений</w:t>
      </w:r>
    </w:p>
    <w:p w:rsidR="00697200" w:rsidRDefault="00697200" w:rsidP="0066779F">
      <w:pPr>
        <w:pStyle w:val="a4"/>
        <w:spacing w:after="0"/>
        <w:jc w:val="both"/>
        <w:rPr>
          <w:sz w:val="28"/>
          <w:szCs w:val="28"/>
        </w:rPr>
      </w:pPr>
    </w:p>
    <w:p w:rsidR="00697200" w:rsidRDefault="00697200" w:rsidP="0066779F">
      <w:pPr>
        <w:pStyle w:val="a4"/>
        <w:spacing w:after="0"/>
        <w:jc w:val="both"/>
        <w:rPr>
          <w:sz w:val="28"/>
          <w:szCs w:val="28"/>
        </w:rPr>
      </w:pPr>
      <w:r w:rsidRPr="00697200">
        <w:rPr>
          <w:sz w:val="28"/>
          <w:szCs w:val="28"/>
        </w:rPr>
        <w:t>- в сумме 26714,3 тыс. руб. при проверке отчета об исполнении бюджета за 2014 год</w:t>
      </w:r>
      <w:proofErr w:type="gramStart"/>
      <w:r w:rsidRPr="00697200">
        <w:rPr>
          <w:sz w:val="28"/>
          <w:szCs w:val="28"/>
        </w:rPr>
        <w:t>.</w:t>
      </w:r>
      <w:proofErr w:type="gramEnd"/>
      <w:r w:rsidRPr="00697200">
        <w:rPr>
          <w:sz w:val="28"/>
          <w:szCs w:val="28"/>
        </w:rPr>
        <w:t xml:space="preserve">  </w:t>
      </w:r>
      <w:proofErr w:type="gramStart"/>
      <w:r w:rsidRPr="00697200">
        <w:rPr>
          <w:sz w:val="28"/>
          <w:szCs w:val="28"/>
        </w:rPr>
        <w:t>н</w:t>
      </w:r>
      <w:proofErr w:type="gramEnd"/>
      <w:r w:rsidRPr="00697200">
        <w:rPr>
          <w:sz w:val="28"/>
          <w:szCs w:val="28"/>
        </w:rPr>
        <w:t>есоблюдение статьи 219.2 Бюджетного кодекса РФ, статьи  116 Положения о бюджетном процессе в Сосновоборском городском округе в части исполнения бюджета по источникам финансирования дефицита бюджета – погашение кредитов, полученных от других бюджетов ЛО в сумме не утвержденной решением совета депутатов.</w:t>
      </w:r>
    </w:p>
    <w:p w:rsidR="00697200" w:rsidRDefault="00697200" w:rsidP="0066779F">
      <w:pPr>
        <w:pStyle w:val="a4"/>
        <w:spacing w:after="0"/>
        <w:jc w:val="both"/>
        <w:rPr>
          <w:sz w:val="28"/>
          <w:szCs w:val="28"/>
        </w:rPr>
      </w:pPr>
    </w:p>
    <w:p w:rsidR="00697200" w:rsidRDefault="00697200" w:rsidP="0066779F">
      <w:pPr>
        <w:pStyle w:val="a4"/>
        <w:spacing w:after="0"/>
        <w:jc w:val="both"/>
        <w:rPr>
          <w:sz w:val="28"/>
          <w:szCs w:val="28"/>
        </w:rPr>
      </w:pPr>
    </w:p>
    <w:p w:rsidR="001A457F" w:rsidRDefault="001A457F" w:rsidP="0066779F">
      <w:pPr>
        <w:pStyle w:val="a4"/>
        <w:spacing w:after="0"/>
        <w:jc w:val="both"/>
        <w:rPr>
          <w:sz w:val="28"/>
          <w:szCs w:val="28"/>
        </w:rPr>
      </w:pPr>
    </w:p>
    <w:p w:rsidR="001A457F" w:rsidRDefault="001A457F" w:rsidP="0066779F">
      <w:pPr>
        <w:pStyle w:val="a4"/>
        <w:spacing w:after="0"/>
        <w:jc w:val="both"/>
        <w:rPr>
          <w:sz w:val="28"/>
          <w:szCs w:val="28"/>
        </w:rPr>
      </w:pPr>
    </w:p>
    <w:p w:rsidR="001A457F" w:rsidRDefault="001A457F" w:rsidP="0066779F">
      <w:pPr>
        <w:pStyle w:val="a4"/>
        <w:spacing w:after="0"/>
        <w:jc w:val="both"/>
        <w:rPr>
          <w:sz w:val="28"/>
          <w:szCs w:val="28"/>
        </w:rPr>
      </w:pPr>
    </w:p>
    <w:p w:rsidR="001A457F" w:rsidRDefault="001A457F" w:rsidP="0066779F">
      <w:pPr>
        <w:pStyle w:val="a4"/>
        <w:spacing w:after="0"/>
        <w:jc w:val="both"/>
        <w:rPr>
          <w:sz w:val="28"/>
          <w:szCs w:val="28"/>
        </w:rPr>
      </w:pPr>
    </w:p>
    <w:p w:rsidR="00697200" w:rsidRPr="00697200" w:rsidRDefault="00697200" w:rsidP="00697200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200">
        <w:rPr>
          <w:rFonts w:ascii="Times New Roman" w:hAnsi="Times New Roman" w:cs="Times New Roman"/>
          <w:b/>
          <w:sz w:val="28"/>
          <w:szCs w:val="28"/>
        </w:rPr>
        <w:t>Экспертно-аналитические мероприятия</w:t>
      </w:r>
    </w:p>
    <w:p w:rsidR="00697200" w:rsidRPr="00697200" w:rsidRDefault="00697200" w:rsidP="00697200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97200">
        <w:rPr>
          <w:rFonts w:ascii="Times New Roman" w:hAnsi="Times New Roman" w:cs="Times New Roman"/>
          <w:sz w:val="28"/>
          <w:szCs w:val="28"/>
        </w:rPr>
        <w:t>За отчетный период проведена экспертиза 11 проектов решений совета депутатов, по которым подготовлены заключения и направлены в совет депутатов.</w:t>
      </w:r>
    </w:p>
    <w:p w:rsidR="00697200" w:rsidRPr="00697200" w:rsidRDefault="00697200" w:rsidP="00697200">
      <w:pPr>
        <w:pStyle w:val="a3"/>
        <w:ind w:firstLine="709"/>
        <w:jc w:val="both"/>
        <w:rPr>
          <w:sz w:val="28"/>
          <w:szCs w:val="28"/>
        </w:rPr>
      </w:pPr>
      <w:r w:rsidRPr="00697200">
        <w:rPr>
          <w:iCs/>
          <w:sz w:val="28"/>
          <w:szCs w:val="28"/>
        </w:rPr>
        <w:t>За отчетный период подготовлено 10 заключений по муниципальным программам, представленных в финансово-контрольную комиссию отраслевыми комитетами и отделами администрации Сосновоборского городского округа. Все заключения с замечаниями и предложениями направлены в администрацию, которые учтены при утверждении программ.</w:t>
      </w:r>
    </w:p>
    <w:p w:rsidR="00697200" w:rsidRPr="00697200" w:rsidRDefault="00697200" w:rsidP="00697200">
      <w:pPr>
        <w:pStyle w:val="a3"/>
        <w:ind w:firstLine="684"/>
        <w:jc w:val="both"/>
        <w:rPr>
          <w:sz w:val="28"/>
          <w:szCs w:val="28"/>
        </w:rPr>
      </w:pPr>
      <w:r w:rsidRPr="00697200">
        <w:rPr>
          <w:sz w:val="28"/>
          <w:szCs w:val="28"/>
        </w:rPr>
        <w:t xml:space="preserve">В рамках текущего (оперативного) контроля осуществлялась подготовка аналитических заключений на ежеквартальные отчеты (1-3 кварталы) об исполнении бюджета </w:t>
      </w:r>
      <w:proofErr w:type="gramStart"/>
      <w:r w:rsidRPr="00697200">
        <w:rPr>
          <w:sz w:val="28"/>
          <w:szCs w:val="28"/>
        </w:rPr>
        <w:t>в</w:t>
      </w:r>
      <w:proofErr w:type="gramEnd"/>
      <w:r w:rsidRPr="00697200">
        <w:rPr>
          <w:sz w:val="28"/>
          <w:szCs w:val="28"/>
        </w:rPr>
        <w:t xml:space="preserve"> </w:t>
      </w:r>
      <w:proofErr w:type="gramStart"/>
      <w:r w:rsidRPr="00697200">
        <w:rPr>
          <w:sz w:val="28"/>
          <w:szCs w:val="28"/>
        </w:rPr>
        <w:t>Сосновоборском</w:t>
      </w:r>
      <w:proofErr w:type="gramEnd"/>
      <w:r w:rsidRPr="00697200">
        <w:rPr>
          <w:sz w:val="28"/>
          <w:szCs w:val="28"/>
        </w:rPr>
        <w:t xml:space="preserve"> городском округе в 2014 году. </w:t>
      </w:r>
    </w:p>
    <w:p w:rsidR="00697200" w:rsidRPr="00697200" w:rsidRDefault="00697200" w:rsidP="001A457F">
      <w:pPr>
        <w:pStyle w:val="a3"/>
        <w:ind w:firstLine="6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Проведена </w:t>
      </w:r>
      <w:r w:rsidRPr="00697200">
        <w:rPr>
          <w:iCs/>
          <w:sz w:val="28"/>
          <w:szCs w:val="28"/>
        </w:rPr>
        <w:t xml:space="preserve">Экспертиза проекта решения о бюджете Сосновоборского городского округа на 2016 год и плановый период 2017-2018 годов. </w:t>
      </w:r>
      <w:r w:rsidR="001A457F">
        <w:rPr>
          <w:iCs/>
          <w:sz w:val="28"/>
          <w:szCs w:val="28"/>
        </w:rPr>
        <w:t>П</w:t>
      </w:r>
      <w:r w:rsidRPr="00697200">
        <w:rPr>
          <w:sz w:val="28"/>
          <w:szCs w:val="28"/>
        </w:rPr>
        <w:t xml:space="preserve">одготовлено 2 заключения на проект решения совета депутатов Сосновоборского городского округа </w:t>
      </w:r>
      <w:r w:rsidRPr="00697200">
        <w:rPr>
          <w:bCs/>
          <w:sz w:val="28"/>
          <w:szCs w:val="28"/>
        </w:rPr>
        <w:t xml:space="preserve"> </w:t>
      </w:r>
      <w:r w:rsidRPr="00697200">
        <w:rPr>
          <w:sz w:val="28"/>
          <w:szCs w:val="28"/>
        </w:rPr>
        <w:t xml:space="preserve">«О бюджете Сосновоборского городского округа на 2015 год и на плановый период 2016 и 2017 годов» в соответствии с Бюджетным кодексом РФ,  Положением о бюджетном процессе </w:t>
      </w:r>
      <w:proofErr w:type="gramStart"/>
      <w:r w:rsidRPr="00697200">
        <w:rPr>
          <w:sz w:val="28"/>
          <w:szCs w:val="28"/>
        </w:rPr>
        <w:t>в</w:t>
      </w:r>
      <w:proofErr w:type="gramEnd"/>
      <w:r w:rsidRPr="00697200">
        <w:rPr>
          <w:sz w:val="28"/>
          <w:szCs w:val="28"/>
        </w:rPr>
        <w:t xml:space="preserve"> </w:t>
      </w:r>
      <w:proofErr w:type="gramStart"/>
      <w:r w:rsidRPr="00697200">
        <w:rPr>
          <w:sz w:val="28"/>
          <w:szCs w:val="28"/>
        </w:rPr>
        <w:t>Сосновоборском</w:t>
      </w:r>
      <w:proofErr w:type="gramEnd"/>
      <w:r w:rsidRPr="00697200">
        <w:rPr>
          <w:sz w:val="28"/>
          <w:szCs w:val="28"/>
        </w:rPr>
        <w:t xml:space="preserve"> городском округе, Положением о финансово-контрольной комиссии.</w:t>
      </w:r>
    </w:p>
    <w:p w:rsidR="00697200" w:rsidRPr="001A457F" w:rsidRDefault="00697200" w:rsidP="00697200">
      <w:pPr>
        <w:pStyle w:val="a6"/>
        <w:widowControl w:val="0"/>
        <w:tabs>
          <w:tab w:val="left" w:pos="0"/>
        </w:tabs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57F">
        <w:rPr>
          <w:rFonts w:ascii="Times New Roman" w:hAnsi="Times New Roman" w:cs="Times New Roman"/>
          <w:b/>
          <w:sz w:val="28"/>
          <w:szCs w:val="28"/>
        </w:rPr>
        <w:t>Другие аспекты деятельности.</w:t>
      </w:r>
    </w:p>
    <w:p w:rsidR="00697200" w:rsidRPr="001A457F" w:rsidRDefault="00697200" w:rsidP="00697200">
      <w:pPr>
        <w:pStyle w:val="a3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1A457F">
        <w:rPr>
          <w:sz w:val="28"/>
          <w:szCs w:val="28"/>
        </w:rPr>
        <w:t>Финансово-контрольная комиссия в 2015 году приняла участие в 3-х совещаниях, проводимых Ассоциацией контрольно-счетных органов Ленинградской области.</w:t>
      </w:r>
    </w:p>
    <w:p w:rsidR="00697200" w:rsidRPr="001A457F" w:rsidRDefault="00697200" w:rsidP="00697200">
      <w:pPr>
        <w:pStyle w:val="a3"/>
        <w:spacing w:before="0" w:beforeAutospacing="0" w:after="0" w:afterAutospacing="0"/>
        <w:ind w:firstLine="686"/>
        <w:jc w:val="both"/>
        <w:rPr>
          <w:bCs/>
          <w:sz w:val="28"/>
          <w:szCs w:val="28"/>
        </w:rPr>
      </w:pPr>
      <w:r w:rsidRPr="001A457F">
        <w:rPr>
          <w:sz w:val="28"/>
          <w:szCs w:val="28"/>
        </w:rPr>
        <w:t xml:space="preserve">Главным специалистом финансово-контрольной комиссии </w:t>
      </w:r>
      <w:r w:rsidRPr="001A457F">
        <w:rPr>
          <w:bCs/>
          <w:sz w:val="28"/>
          <w:szCs w:val="28"/>
        </w:rPr>
        <w:t>пройдено обучение по программе повышения квалификации</w:t>
      </w:r>
      <w:r w:rsidRPr="001A457F">
        <w:rPr>
          <w:sz w:val="28"/>
          <w:szCs w:val="28"/>
        </w:rPr>
        <w:t xml:space="preserve">: </w:t>
      </w:r>
      <w:r w:rsidRPr="001A457F">
        <w:rPr>
          <w:bCs/>
          <w:sz w:val="28"/>
          <w:szCs w:val="28"/>
        </w:rPr>
        <w:t>«Контрактная система в сфере закупок: от 5 апреля 2013 года № 44-ФЗ с учетом изменений  от 31.12.2014 г. № 498-ФЗ. Первые результаты контроля практики применения контрактной системы. Сложные и тонкие вопросы</w:t>
      </w:r>
      <w:proofErr w:type="gramStart"/>
      <w:r w:rsidRPr="001A457F">
        <w:rPr>
          <w:bCs/>
          <w:sz w:val="28"/>
          <w:szCs w:val="28"/>
        </w:rPr>
        <w:t>.».</w:t>
      </w:r>
      <w:proofErr w:type="gramEnd"/>
    </w:p>
    <w:p w:rsidR="00697200" w:rsidRPr="001A457F" w:rsidRDefault="00697200" w:rsidP="00697200">
      <w:pPr>
        <w:pStyle w:val="a3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1A457F">
        <w:rPr>
          <w:sz w:val="28"/>
          <w:szCs w:val="28"/>
        </w:rPr>
        <w:t xml:space="preserve">Председателем финансово-контрольной комиссии принято участие в семинаре по теме </w:t>
      </w:r>
      <w:r w:rsidRPr="001A457F">
        <w:rPr>
          <w:rFonts w:eastAsia="SimSun"/>
          <w:sz w:val="28"/>
          <w:szCs w:val="28"/>
        </w:rPr>
        <w:t>«Государственные (муниципальные)  задания: новации с 01.01.2016 г. Практика расчета нормативных затрат. Финансовое обеспечение выполнения государственного (муниципального) задания. Субсидии на выполнение государственного (муниципального) задания. Мониторинг и контроль качества исполнения»</w:t>
      </w:r>
    </w:p>
    <w:p w:rsidR="00697200" w:rsidRPr="001A457F" w:rsidRDefault="00697200" w:rsidP="00697200">
      <w:pPr>
        <w:pStyle w:val="a3"/>
        <w:spacing w:before="0" w:beforeAutospacing="0" w:after="0" w:afterAutospacing="0"/>
        <w:ind w:firstLine="686"/>
        <w:jc w:val="both"/>
        <w:rPr>
          <w:sz w:val="28"/>
          <w:szCs w:val="28"/>
        </w:rPr>
      </w:pPr>
      <w:r w:rsidRPr="001A457F">
        <w:rPr>
          <w:sz w:val="28"/>
          <w:szCs w:val="28"/>
        </w:rPr>
        <w:t xml:space="preserve">Принято участие в двух </w:t>
      </w:r>
      <w:proofErr w:type="spellStart"/>
      <w:r w:rsidRPr="001A457F">
        <w:rPr>
          <w:sz w:val="28"/>
          <w:szCs w:val="28"/>
        </w:rPr>
        <w:t>вебинарах</w:t>
      </w:r>
      <w:proofErr w:type="spellEnd"/>
      <w:r w:rsidRPr="001A457F">
        <w:rPr>
          <w:sz w:val="28"/>
          <w:szCs w:val="28"/>
        </w:rPr>
        <w:t>, организованных Контрольно-счетной палатой РФ «</w:t>
      </w:r>
      <w:r w:rsidRPr="001A457F">
        <w:rPr>
          <w:bCs/>
          <w:sz w:val="28"/>
          <w:szCs w:val="28"/>
        </w:rPr>
        <w:t xml:space="preserve">Аудит эффективности в условиях программно-целевых </w:t>
      </w:r>
      <w:r w:rsidRPr="001A457F">
        <w:rPr>
          <w:bCs/>
          <w:sz w:val="28"/>
          <w:szCs w:val="28"/>
        </w:rPr>
        <w:lastRenderedPageBreak/>
        <w:t>методов бюджетного планирования»</w:t>
      </w:r>
      <w:r w:rsidRPr="001A457F">
        <w:rPr>
          <w:sz w:val="28"/>
          <w:szCs w:val="28"/>
        </w:rPr>
        <w:t xml:space="preserve"> и Контрольно-счетной палатой Ленинградской области по вопросам деятельности КСО.</w:t>
      </w:r>
    </w:p>
    <w:p w:rsidR="00697200" w:rsidRDefault="00697200" w:rsidP="00697200">
      <w:pPr>
        <w:pStyle w:val="a3"/>
        <w:spacing w:before="0" w:beforeAutospacing="0" w:after="0" w:afterAutospacing="0"/>
        <w:ind w:firstLine="686"/>
        <w:jc w:val="both"/>
      </w:pPr>
    </w:p>
    <w:p w:rsidR="00697200" w:rsidRDefault="00697200" w:rsidP="00697200">
      <w:pPr>
        <w:pStyle w:val="a3"/>
        <w:spacing w:before="0" w:beforeAutospacing="0" w:after="0" w:afterAutospacing="0"/>
        <w:ind w:firstLine="686"/>
        <w:jc w:val="both"/>
      </w:pPr>
    </w:p>
    <w:p w:rsidR="00697200" w:rsidRPr="001A457F" w:rsidRDefault="00697200" w:rsidP="00697200">
      <w:pPr>
        <w:pStyle w:val="3"/>
        <w:suppressAutoHyphens/>
        <w:spacing w:before="0" w:after="0"/>
        <w:ind w:firstLine="709"/>
        <w:jc w:val="center"/>
        <w:rPr>
          <w:rStyle w:val="a8"/>
          <w:rFonts w:ascii="Times New Roman" w:hAnsi="Times New Roman" w:cs="Times New Roman"/>
          <w:b/>
          <w:bCs/>
          <w:sz w:val="28"/>
          <w:szCs w:val="28"/>
        </w:rPr>
      </w:pPr>
      <w:r w:rsidRPr="001A457F">
        <w:rPr>
          <w:rStyle w:val="a8"/>
          <w:rFonts w:ascii="Times New Roman" w:hAnsi="Times New Roman" w:cs="Times New Roman"/>
          <w:b/>
          <w:bCs/>
          <w:sz w:val="28"/>
          <w:szCs w:val="28"/>
        </w:rPr>
        <w:t>Информационная и иная деятельность финансово-контрольной комиссии.</w:t>
      </w:r>
    </w:p>
    <w:p w:rsidR="00697200" w:rsidRPr="001A457F" w:rsidRDefault="00697200" w:rsidP="00697200">
      <w:pPr>
        <w:pStyle w:val="a3"/>
        <w:ind w:firstLine="684"/>
        <w:jc w:val="both"/>
        <w:rPr>
          <w:sz w:val="28"/>
          <w:szCs w:val="28"/>
        </w:rPr>
      </w:pPr>
      <w:proofErr w:type="gramStart"/>
      <w:r w:rsidRPr="001A457F">
        <w:rPr>
          <w:sz w:val="28"/>
          <w:szCs w:val="28"/>
        </w:rPr>
        <w:t xml:space="preserve">В целях обеспечения большей доступности информации о деятельности финансово-контрольной комиссии Сосновоборского городского округа и 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 на сайте </w:t>
      </w:r>
      <w:r w:rsidRPr="001A457F">
        <w:rPr>
          <w:sz w:val="28"/>
          <w:szCs w:val="28"/>
          <w:u w:val="single"/>
        </w:rPr>
        <w:t>http://sbor.ru</w:t>
      </w:r>
      <w:r w:rsidRPr="001A457F">
        <w:rPr>
          <w:sz w:val="28"/>
          <w:szCs w:val="28"/>
        </w:rPr>
        <w:t xml:space="preserve"> (раздел власть/совет депутатов/финансово-контрольная комиссия) регулярно размещается информация о запланированных мероприятиях, проводимых финансово-контрольной комиссией, о результатах проведенных проверок, экспертные заключения. </w:t>
      </w:r>
      <w:proofErr w:type="gramEnd"/>
    </w:p>
    <w:p w:rsidR="00697200" w:rsidRPr="0063183E" w:rsidRDefault="00697200" w:rsidP="00697200">
      <w:pPr>
        <w:autoSpaceDE w:val="0"/>
        <w:autoSpaceDN w:val="0"/>
        <w:adjustRightInd w:val="0"/>
        <w:ind w:firstLine="540"/>
        <w:jc w:val="center"/>
        <w:rPr>
          <w:highlight w:val="yellow"/>
        </w:rPr>
      </w:pPr>
    </w:p>
    <w:p w:rsidR="00697200" w:rsidRPr="00697200" w:rsidRDefault="00697200" w:rsidP="0066779F">
      <w:pPr>
        <w:pStyle w:val="a4"/>
        <w:spacing w:after="0"/>
        <w:jc w:val="both"/>
        <w:rPr>
          <w:sz w:val="28"/>
          <w:szCs w:val="28"/>
        </w:rPr>
      </w:pPr>
    </w:p>
    <w:sectPr w:rsidR="00697200" w:rsidRPr="00697200" w:rsidSect="001A45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91667"/>
    <w:multiLevelType w:val="hybridMultilevel"/>
    <w:tmpl w:val="5F38765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68363E55"/>
    <w:multiLevelType w:val="hybridMultilevel"/>
    <w:tmpl w:val="D0C6E4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58A2"/>
    <w:rsid w:val="00006197"/>
    <w:rsid w:val="00011437"/>
    <w:rsid w:val="00013792"/>
    <w:rsid w:val="00022E86"/>
    <w:rsid w:val="0007315E"/>
    <w:rsid w:val="00076231"/>
    <w:rsid w:val="000908B1"/>
    <w:rsid w:val="000A3929"/>
    <w:rsid w:val="000B2F2E"/>
    <w:rsid w:val="000B76D1"/>
    <w:rsid w:val="000C2AFA"/>
    <w:rsid w:val="000F4371"/>
    <w:rsid w:val="00105077"/>
    <w:rsid w:val="001108EA"/>
    <w:rsid w:val="001124DE"/>
    <w:rsid w:val="00116497"/>
    <w:rsid w:val="00142EA0"/>
    <w:rsid w:val="0015368A"/>
    <w:rsid w:val="0016523D"/>
    <w:rsid w:val="00181D5F"/>
    <w:rsid w:val="00184E12"/>
    <w:rsid w:val="00193ED9"/>
    <w:rsid w:val="001A457F"/>
    <w:rsid w:val="001C149C"/>
    <w:rsid w:val="001E5297"/>
    <w:rsid w:val="002306BD"/>
    <w:rsid w:val="002352A1"/>
    <w:rsid w:val="00236264"/>
    <w:rsid w:val="00253B2A"/>
    <w:rsid w:val="00255F26"/>
    <w:rsid w:val="00291208"/>
    <w:rsid w:val="002A291D"/>
    <w:rsid w:val="002A599C"/>
    <w:rsid w:val="002B204F"/>
    <w:rsid w:val="002D7BAB"/>
    <w:rsid w:val="002F47EF"/>
    <w:rsid w:val="003058F8"/>
    <w:rsid w:val="00316AA4"/>
    <w:rsid w:val="00317A29"/>
    <w:rsid w:val="00322080"/>
    <w:rsid w:val="003410D5"/>
    <w:rsid w:val="003427EF"/>
    <w:rsid w:val="00393775"/>
    <w:rsid w:val="00396F63"/>
    <w:rsid w:val="003B54A7"/>
    <w:rsid w:val="003E0319"/>
    <w:rsid w:val="003E6524"/>
    <w:rsid w:val="004310DB"/>
    <w:rsid w:val="004321D4"/>
    <w:rsid w:val="004361CB"/>
    <w:rsid w:val="00441646"/>
    <w:rsid w:val="00467415"/>
    <w:rsid w:val="004806A1"/>
    <w:rsid w:val="00490A76"/>
    <w:rsid w:val="004B0C84"/>
    <w:rsid w:val="004C2014"/>
    <w:rsid w:val="004D0017"/>
    <w:rsid w:val="004D7EBB"/>
    <w:rsid w:val="004E5A8C"/>
    <w:rsid w:val="005200D9"/>
    <w:rsid w:val="005262DF"/>
    <w:rsid w:val="0056069B"/>
    <w:rsid w:val="00596885"/>
    <w:rsid w:val="005A1524"/>
    <w:rsid w:val="005B78C8"/>
    <w:rsid w:val="005D38C6"/>
    <w:rsid w:val="005E7953"/>
    <w:rsid w:val="006168A3"/>
    <w:rsid w:val="00617B25"/>
    <w:rsid w:val="00635914"/>
    <w:rsid w:val="0066779F"/>
    <w:rsid w:val="00681408"/>
    <w:rsid w:val="0068786D"/>
    <w:rsid w:val="006964C9"/>
    <w:rsid w:val="00697200"/>
    <w:rsid w:val="006C0539"/>
    <w:rsid w:val="006C7BD0"/>
    <w:rsid w:val="006D3DF1"/>
    <w:rsid w:val="0070372F"/>
    <w:rsid w:val="00706143"/>
    <w:rsid w:val="0070728A"/>
    <w:rsid w:val="00712378"/>
    <w:rsid w:val="00715EC3"/>
    <w:rsid w:val="00717B40"/>
    <w:rsid w:val="00722E21"/>
    <w:rsid w:val="007533F9"/>
    <w:rsid w:val="00766640"/>
    <w:rsid w:val="007709CD"/>
    <w:rsid w:val="0078444F"/>
    <w:rsid w:val="007B2A63"/>
    <w:rsid w:val="007B2E98"/>
    <w:rsid w:val="007C1672"/>
    <w:rsid w:val="007F5D6A"/>
    <w:rsid w:val="0080636A"/>
    <w:rsid w:val="00836D87"/>
    <w:rsid w:val="00855A8B"/>
    <w:rsid w:val="00857468"/>
    <w:rsid w:val="00863BB3"/>
    <w:rsid w:val="00882030"/>
    <w:rsid w:val="008972CD"/>
    <w:rsid w:val="008B5710"/>
    <w:rsid w:val="008C0A36"/>
    <w:rsid w:val="008C4F92"/>
    <w:rsid w:val="008D0911"/>
    <w:rsid w:val="008D7FA5"/>
    <w:rsid w:val="008E7741"/>
    <w:rsid w:val="0090539C"/>
    <w:rsid w:val="00911D4B"/>
    <w:rsid w:val="0091603E"/>
    <w:rsid w:val="00934431"/>
    <w:rsid w:val="00934D55"/>
    <w:rsid w:val="0093733E"/>
    <w:rsid w:val="00950B02"/>
    <w:rsid w:val="009656BC"/>
    <w:rsid w:val="00966929"/>
    <w:rsid w:val="009A0DA0"/>
    <w:rsid w:val="009A1123"/>
    <w:rsid w:val="009B0A4D"/>
    <w:rsid w:val="009C2949"/>
    <w:rsid w:val="009E55A1"/>
    <w:rsid w:val="009F7951"/>
    <w:rsid w:val="00A120D8"/>
    <w:rsid w:val="00A12A56"/>
    <w:rsid w:val="00A22D8A"/>
    <w:rsid w:val="00A36F00"/>
    <w:rsid w:val="00A62392"/>
    <w:rsid w:val="00A63685"/>
    <w:rsid w:val="00A646CA"/>
    <w:rsid w:val="00A663DF"/>
    <w:rsid w:val="00A80AC8"/>
    <w:rsid w:val="00AC341D"/>
    <w:rsid w:val="00AD004C"/>
    <w:rsid w:val="00AD425D"/>
    <w:rsid w:val="00AF4B1A"/>
    <w:rsid w:val="00B323D1"/>
    <w:rsid w:val="00B3374B"/>
    <w:rsid w:val="00B42633"/>
    <w:rsid w:val="00B55D87"/>
    <w:rsid w:val="00B62D44"/>
    <w:rsid w:val="00B661B0"/>
    <w:rsid w:val="00B81667"/>
    <w:rsid w:val="00B9277E"/>
    <w:rsid w:val="00B9477B"/>
    <w:rsid w:val="00BA3EE8"/>
    <w:rsid w:val="00BB3364"/>
    <w:rsid w:val="00BD2960"/>
    <w:rsid w:val="00BD5284"/>
    <w:rsid w:val="00C158D2"/>
    <w:rsid w:val="00C30575"/>
    <w:rsid w:val="00C44570"/>
    <w:rsid w:val="00C44664"/>
    <w:rsid w:val="00C46B65"/>
    <w:rsid w:val="00C64AA9"/>
    <w:rsid w:val="00C715F7"/>
    <w:rsid w:val="00C81104"/>
    <w:rsid w:val="00C87F89"/>
    <w:rsid w:val="00C91DE4"/>
    <w:rsid w:val="00C94DD2"/>
    <w:rsid w:val="00C954D8"/>
    <w:rsid w:val="00C973F1"/>
    <w:rsid w:val="00CB6337"/>
    <w:rsid w:val="00CB6ABC"/>
    <w:rsid w:val="00CC2D1F"/>
    <w:rsid w:val="00CC6D98"/>
    <w:rsid w:val="00CD0058"/>
    <w:rsid w:val="00CD203C"/>
    <w:rsid w:val="00CD3D6E"/>
    <w:rsid w:val="00CD6C0D"/>
    <w:rsid w:val="00CD6F8D"/>
    <w:rsid w:val="00CE23F2"/>
    <w:rsid w:val="00CF2733"/>
    <w:rsid w:val="00CF6BAE"/>
    <w:rsid w:val="00D117CC"/>
    <w:rsid w:val="00D20079"/>
    <w:rsid w:val="00D31130"/>
    <w:rsid w:val="00D34EEF"/>
    <w:rsid w:val="00D41FC2"/>
    <w:rsid w:val="00D540F9"/>
    <w:rsid w:val="00D820A6"/>
    <w:rsid w:val="00D84553"/>
    <w:rsid w:val="00D858A2"/>
    <w:rsid w:val="00D91725"/>
    <w:rsid w:val="00D93CC4"/>
    <w:rsid w:val="00DF24C3"/>
    <w:rsid w:val="00E021B2"/>
    <w:rsid w:val="00E04FBA"/>
    <w:rsid w:val="00E06FBD"/>
    <w:rsid w:val="00E316DF"/>
    <w:rsid w:val="00E326AE"/>
    <w:rsid w:val="00E46CEE"/>
    <w:rsid w:val="00E5191C"/>
    <w:rsid w:val="00E52E9E"/>
    <w:rsid w:val="00E8254B"/>
    <w:rsid w:val="00E86F14"/>
    <w:rsid w:val="00E924C3"/>
    <w:rsid w:val="00E9311B"/>
    <w:rsid w:val="00EA133D"/>
    <w:rsid w:val="00ED0E9F"/>
    <w:rsid w:val="00EE5F47"/>
    <w:rsid w:val="00F1090E"/>
    <w:rsid w:val="00F337B3"/>
    <w:rsid w:val="00F43AB5"/>
    <w:rsid w:val="00F53ED3"/>
    <w:rsid w:val="00F55CD5"/>
    <w:rsid w:val="00F764EF"/>
    <w:rsid w:val="00F814E8"/>
    <w:rsid w:val="00FD46B6"/>
    <w:rsid w:val="00FE3B91"/>
    <w:rsid w:val="00FE40F3"/>
    <w:rsid w:val="00FF029B"/>
    <w:rsid w:val="00FF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77"/>
  </w:style>
  <w:style w:type="paragraph" w:styleId="3">
    <w:name w:val="heading 3"/>
    <w:basedOn w:val="a"/>
    <w:next w:val="a"/>
    <w:link w:val="30"/>
    <w:qFormat/>
    <w:rsid w:val="006972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D8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786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b/>
      <w:bCs/>
      <w:sz w:val="20"/>
      <w:szCs w:val="20"/>
      <w:lang w:eastAsia="ja-JP"/>
    </w:rPr>
  </w:style>
  <w:style w:type="paragraph" w:customStyle="1" w:styleId="ConsPlusNonformat">
    <w:name w:val="ConsPlusNonformat"/>
    <w:uiPriority w:val="99"/>
    <w:rsid w:val="00687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6878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5CD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6">
    <w:name w:val="Body Text Indent"/>
    <w:basedOn w:val="a"/>
    <w:link w:val="a7"/>
    <w:uiPriority w:val="99"/>
    <w:semiHidden/>
    <w:unhideWhenUsed/>
    <w:rsid w:val="00A120D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120D8"/>
  </w:style>
  <w:style w:type="character" w:customStyle="1" w:styleId="30">
    <w:name w:val="Заголовок 3 Знак"/>
    <w:basedOn w:val="a0"/>
    <w:link w:val="3"/>
    <w:rsid w:val="0069720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8">
    <w:name w:val="Strong"/>
    <w:basedOn w:val="a0"/>
    <w:uiPriority w:val="99"/>
    <w:qFormat/>
    <w:rsid w:val="00697200"/>
    <w:rPr>
      <w:rFonts w:ascii="Verdana" w:hAnsi="Verdana" w:hint="default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A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45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Депутатов-Морозова М.Н.</dc:creator>
  <cp:lastModifiedBy>Совет Депутатов-Морозова М.Н.</cp:lastModifiedBy>
  <cp:revision>2</cp:revision>
  <cp:lastPrinted>2016-04-22T09:33:00Z</cp:lastPrinted>
  <dcterms:created xsi:type="dcterms:W3CDTF">2016-04-22T07:35:00Z</dcterms:created>
  <dcterms:modified xsi:type="dcterms:W3CDTF">2016-04-29T11:28:00Z</dcterms:modified>
</cp:coreProperties>
</file>