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E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ДОКЛАД</w:t>
      </w:r>
    </w:p>
    <w:p w:rsidR="0028228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развитии конкуренции в муниципальном образовании</w:t>
      </w:r>
    </w:p>
    <w:p w:rsidR="00820B38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Сосновоборский городской округ</w:t>
      </w:r>
    </w:p>
    <w:p w:rsidR="00A642E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r w:rsidR="00FB2ECD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916FC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первый</w:t>
      </w:r>
      <w:r w:rsidR="007405FA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квартал </w:t>
      </w: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C81133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916FC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9320E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год</w:t>
      </w:r>
      <w:r w:rsidR="007405FA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</w:p>
    <w:p w:rsidR="008E6844" w:rsidRPr="003D2113" w:rsidRDefault="008E6844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5389" w:rsidRPr="003D2113" w:rsidRDefault="00421087" w:rsidP="00AE79F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исполнение Ука</w:t>
      </w:r>
      <w:r w:rsidR="000A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зов</w:t>
      </w:r>
      <w:r w:rsidR="008F5389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Президента Российской Федерации от 07.05.2012 года № 601 «Об основных направлениях совершенствования систем</w:t>
      </w:r>
      <w:r w:rsidR="000A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государственного управления», </w:t>
      </w:r>
      <w:r w:rsidR="008F5389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21.12.2017 года № 618 «Об основных направлениях государственной политики по развитию конкуренции» и в целях внедрения Стандарта развития конкуренции в субъектах Российской Федерации, утвержденного распоряжением Правительства Российской Федерации № 768-р от 17.04.2019 (далее – Стандарт развития конкуренции), администрацией Сосновоборского городского округа реализован ряд мероприятий, направленных на организацию работы по развитию конкуренции на территории Сосновоборского городского округа. </w:t>
      </w:r>
    </w:p>
    <w:p w:rsidR="008F5389" w:rsidRPr="003D2113" w:rsidRDefault="008F538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одписано соглашение между Комитетом экономического развития и инвестиционной деятел</w:t>
      </w:r>
      <w:r w:rsidR="000A46EF">
        <w:rPr>
          <w:rFonts w:ascii="Times New Roman" w:hAnsi="Times New Roman" w:cs="Times New Roman"/>
          <w:color w:val="000000" w:themeColor="text1"/>
          <w:sz w:val="24"/>
          <w:szCs w:val="24"/>
        </w:rPr>
        <w:t>ьности Ленинградской области и а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дминистрацией </w:t>
      </w:r>
      <w:r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о внедрении Стандарта развития конкуренции в Ленинградской области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декабря 2020 года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7CA6" w:rsidRPr="003D2113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D74" w:rsidRPr="000F2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администрации Сосновоборского городского округа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481B7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27.03.2026 № 55-р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81B7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Плана мероприятий («дорожной карты») по содействию развитию конкуренции на территории муниципального образования Сосновоборский городской округ Ленинградской области на период 2026-2030 годы</w:t>
      </w:r>
      <w:r w:rsidR="000F2D74">
        <w:rPr>
          <w:rFonts w:ascii="Times New Roman" w:hAnsi="Times New Roman" w:cs="Times New Roman"/>
          <w:color w:val="000000" w:themeColor="text1"/>
          <w:sz w:val="24"/>
          <w:szCs w:val="24"/>
        </w:rPr>
        <w:t>»:</w:t>
      </w:r>
    </w:p>
    <w:p w:rsidR="00C027A7" w:rsidRDefault="00C027A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7A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определен уполномоченный орган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содействию развитию конкуренции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 w:rsidRP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Сосновоборского городского округа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отдел экономического развития администрации;</w:t>
      </w:r>
    </w:p>
    <w:p w:rsidR="00C027A7" w:rsidRDefault="00C027A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7A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2513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утверждены Перечень товарных рынков для содействия развитию конкуренции в Сосновоборском городском округе и План мероприятий («дорожная карта») по содействию развитию конкуренции на рынках товаров, работ и услуг Сосновоборского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на период 2026 - 2030 годы. </w:t>
      </w:r>
    </w:p>
    <w:p w:rsidR="008F5389" w:rsidRPr="003D2113" w:rsidRDefault="00200C8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81E7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информация по развитию конкуренции на территории </w:t>
      </w:r>
      <w:r w:rsidR="00930453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 городского округа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нормативно-правовые документы размещены на официальном сай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92BC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2BCB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Сосновоборского городского округа</w:t>
      </w:r>
      <w:r w:rsidR="00C62FE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33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https://sbor.ru/economy/konkur</w:t>
      </w:r>
      <w:r w:rsidR="00D562E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6DEF" w:rsidRPr="003D2113" w:rsidRDefault="00243B69" w:rsidP="00AE79F5">
      <w:pPr>
        <w:pStyle w:val="Default"/>
        <w:ind w:firstLine="709"/>
        <w:jc w:val="both"/>
        <w:rPr>
          <w:bCs/>
          <w:color w:val="000000" w:themeColor="text1"/>
        </w:rPr>
      </w:pPr>
      <w:r w:rsidRPr="003D2113">
        <w:rPr>
          <w:bCs/>
          <w:color w:val="000000" w:themeColor="text1"/>
          <w:lang w:val="en-US"/>
        </w:rPr>
        <w:t>I</w:t>
      </w:r>
      <w:r w:rsidR="00B0686C" w:rsidRPr="003D2113">
        <w:rPr>
          <w:bCs/>
          <w:color w:val="000000" w:themeColor="text1"/>
        </w:rPr>
        <w:t>.</w:t>
      </w:r>
      <w:r w:rsidR="00E76EED" w:rsidRPr="003D2113">
        <w:rPr>
          <w:bCs/>
          <w:color w:val="000000" w:themeColor="text1"/>
        </w:rPr>
        <w:t xml:space="preserve"> </w:t>
      </w:r>
      <w:r w:rsidR="009D1605" w:rsidRPr="003D2113">
        <w:rPr>
          <w:bCs/>
          <w:color w:val="000000" w:themeColor="text1"/>
        </w:rPr>
        <w:t>О с</w:t>
      </w:r>
      <w:r w:rsidR="00516DEF" w:rsidRPr="003D2113">
        <w:rPr>
          <w:bCs/>
          <w:color w:val="000000" w:themeColor="text1"/>
        </w:rPr>
        <w:t>остояни</w:t>
      </w:r>
      <w:r w:rsidR="009D1605" w:rsidRPr="003D2113">
        <w:rPr>
          <w:bCs/>
          <w:color w:val="000000" w:themeColor="text1"/>
        </w:rPr>
        <w:t>и</w:t>
      </w:r>
      <w:r w:rsidR="00516DEF" w:rsidRPr="003D2113">
        <w:rPr>
          <w:bCs/>
          <w:color w:val="000000" w:themeColor="text1"/>
        </w:rPr>
        <w:t xml:space="preserve"> и развити</w:t>
      </w:r>
      <w:r w:rsidR="009D1605" w:rsidRPr="003D2113">
        <w:rPr>
          <w:bCs/>
          <w:color w:val="000000" w:themeColor="text1"/>
        </w:rPr>
        <w:t>и</w:t>
      </w:r>
      <w:r w:rsidR="00516DEF" w:rsidRPr="003D2113">
        <w:rPr>
          <w:bCs/>
          <w:color w:val="000000" w:themeColor="text1"/>
        </w:rPr>
        <w:t xml:space="preserve"> конкурентной среды на рынках товаров, работ и услуг</w:t>
      </w:r>
      <w:r w:rsidR="00D92BCB" w:rsidRPr="003D2113">
        <w:rPr>
          <w:color w:val="000000" w:themeColor="text1"/>
        </w:rPr>
        <w:t xml:space="preserve"> на территории </w:t>
      </w:r>
      <w:r w:rsidR="00D92BCB" w:rsidRPr="003D2113">
        <w:rPr>
          <w:rFonts w:eastAsia="Times New Roman"/>
          <w:color w:val="000000" w:themeColor="text1"/>
          <w:lang w:eastAsia="ru-RU"/>
        </w:rPr>
        <w:t>Сосновоборского городского округа</w:t>
      </w:r>
      <w:r w:rsidR="00516DEF" w:rsidRPr="003D2113">
        <w:rPr>
          <w:bCs/>
          <w:color w:val="000000" w:themeColor="text1"/>
        </w:rPr>
        <w:t>.</w:t>
      </w:r>
    </w:p>
    <w:p w:rsidR="00EF6D20" w:rsidRPr="003D2113" w:rsidRDefault="009D1605" w:rsidP="00AE79F5">
      <w:pPr>
        <w:pStyle w:val="ae"/>
        <w:shd w:val="clear" w:color="auto" w:fill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3D2113">
        <w:rPr>
          <w:color w:val="000000" w:themeColor="text1"/>
          <w:sz w:val="24"/>
          <w:szCs w:val="24"/>
        </w:rPr>
        <w:t xml:space="preserve">Приоритетными рынками товаров, работ и услуг Сосновоборского городского округа являются: </w:t>
      </w:r>
      <w:r w:rsidRPr="003D2113">
        <w:rPr>
          <w:bCs/>
          <w:color w:val="000000" w:themeColor="text1"/>
          <w:sz w:val="24"/>
          <w:szCs w:val="24"/>
        </w:rPr>
        <w:t>рынок выполнения работ по благоустройству городской среды,</w:t>
      </w:r>
      <w:r w:rsidR="00D562E1" w:rsidRPr="003D2113">
        <w:rPr>
          <w:bCs/>
          <w:color w:val="000000" w:themeColor="text1"/>
          <w:sz w:val="24"/>
          <w:szCs w:val="24"/>
        </w:rPr>
        <w:t xml:space="preserve"> </w:t>
      </w:r>
      <w:r w:rsidRPr="003D2113">
        <w:rPr>
          <w:bCs/>
          <w:color w:val="000000" w:themeColor="text1"/>
          <w:sz w:val="24"/>
          <w:szCs w:val="24"/>
        </w:rPr>
        <w:t>р</w:t>
      </w:r>
      <w:r w:rsidRPr="003D2113">
        <w:rPr>
          <w:color w:val="000000" w:themeColor="text1"/>
          <w:sz w:val="24"/>
          <w:szCs w:val="24"/>
        </w:rPr>
        <w:t>ынок архитектурно-строительного проектирования</w:t>
      </w:r>
      <w:r w:rsidR="00EF6D20" w:rsidRPr="003D2113">
        <w:rPr>
          <w:color w:val="000000" w:themeColor="text1"/>
          <w:sz w:val="24"/>
          <w:szCs w:val="24"/>
        </w:rPr>
        <w:t>, сфера наружной рекламы, рынок оказания услуг по перевозке пассажиров автомобильным транспортом по муниципальным маршрутам регулярных перевозок,</w:t>
      </w:r>
      <w:r w:rsidR="00EF6D20" w:rsidRPr="003D2113">
        <w:rPr>
          <w:rStyle w:val="10pt0pt"/>
          <w:rFonts w:eastAsiaTheme="minorHAnsi"/>
          <w:color w:val="000000" w:themeColor="text1"/>
          <w:sz w:val="24"/>
          <w:szCs w:val="24"/>
        </w:rPr>
        <w:t xml:space="preserve"> </w:t>
      </w:r>
      <w:r w:rsidR="00EF6D20" w:rsidRPr="003D2113">
        <w:rPr>
          <w:color w:val="000000" w:themeColor="text1"/>
          <w:sz w:val="24"/>
          <w:szCs w:val="24"/>
        </w:rPr>
        <w:t>рынок ритуальных услуг,</w:t>
      </w:r>
      <w:r w:rsidR="00EF6D20" w:rsidRPr="003D2113">
        <w:rPr>
          <w:color w:val="000000" w:themeColor="text1"/>
          <w:sz w:val="24"/>
          <w:szCs w:val="24"/>
          <w:lang w:eastAsia="ru-RU"/>
        </w:rPr>
        <w:t xml:space="preserve"> рынок кадастровых и землеустроительных работ,</w:t>
      </w:r>
      <w:r w:rsidR="00EF6D20" w:rsidRPr="003D2113">
        <w:rPr>
          <w:color w:val="000000" w:themeColor="text1"/>
          <w:sz w:val="24"/>
          <w:szCs w:val="24"/>
        </w:rPr>
        <w:t xml:space="preserve"> </w:t>
      </w:r>
      <w:r w:rsidR="00EF6D20" w:rsidRPr="003D2113">
        <w:rPr>
          <w:color w:val="000000" w:themeColor="text1"/>
          <w:sz w:val="24"/>
          <w:szCs w:val="24"/>
          <w:lang w:eastAsia="ru-RU"/>
        </w:rPr>
        <w:t>рынок легкой промышленности, рынок обработки древесины и производства изделий из дерева.</w:t>
      </w:r>
    </w:p>
    <w:p w:rsidR="00B818E6" w:rsidRPr="003D2113" w:rsidRDefault="00B818E6" w:rsidP="00C11A8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Рынок выполнения работ по благоустройству городской среды.</w:t>
      </w:r>
    </w:p>
    <w:p w:rsidR="00B818E6" w:rsidRPr="003D2113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содержанию объектов внешнего благоустройства Сосновоборского городского округа проводятся на основании муниципальных контрактов, заключенных по результатам рассмотрения заявок на участие в отк</w:t>
      </w:r>
      <w:r w:rsidR="00D8423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рытом аукционе, конкурсе, а так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же в соответствии с муниципальным заданием СМБУ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Спецавтотранс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818E6" w:rsidRPr="003D2113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Все выполненные работы в течение</w:t>
      </w:r>
      <w:r w:rsidR="004D6C6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6F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квартала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916F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отделу внешнего благоустройства и дорожного хозяйства проводились через конкурсные процедуры, МК заключены с организациями частной формы собственности.</w:t>
      </w:r>
    </w:p>
    <w:p w:rsidR="008F103D" w:rsidRPr="003D2113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«Спецпроект», ООО «Архитектурная мастерская «Канон», ООО «Архитектурная студия «Контур», ООО 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Геопроект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», ООО «Экспертное комплексное бюро «эталон нормы».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Схема размещения рекламных конструкций обновляется по мере внесения изменений. Регулярно проводится мониторинг рекламных конструкций, консультирование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предпринимателей в части размещения рекламных конструкций на территории Сосновоборского городского округа.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НПА 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информация о проведении конкурсов и семинаров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размещен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Сосновоборского городского округа. Перечень НПА обновляется по мере внесения изменений. Создана и функционируе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 ГИСОГД Ленинградской области.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 Рынок оказания услуг по перевозке пассажиров автомобильным транспортом по муниципальным маршрутам регулярных перевозок.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Пассажирские перевозки по муниципальным маршрутам по регулируемым тарифам осуществляются исполнителями, с которыми заключены муниципальные контракты по результатам аукционов 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запроса котировок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форме. Деятельность по перевозке пассажиров автомобильным транспортом по муниципальным маршрутам регулярных перевозок осуществляют 2 перевозчика:</w:t>
      </w:r>
    </w:p>
    <w:p w:rsidR="008F103D" w:rsidRPr="003D2113" w:rsidRDefault="00AE79F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ООО «Ленинградская АЭС-Авто»;</w:t>
      </w:r>
    </w:p>
    <w:p w:rsidR="008F103D" w:rsidRPr="003D2113" w:rsidRDefault="00B31079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Эле</w:t>
      </w:r>
      <w:r w:rsidR="008F103D"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сТранс</w:t>
      </w:r>
      <w:proofErr w:type="spellEnd"/>
      <w:r w:rsidR="008F103D"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»</w:t>
      </w:r>
      <w:r w:rsidR="008F103D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 Рынок ритуальных услуг.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Ритуальные услуги и содержание общественных кладбищ осуществляются п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 итогам проведенных конкурсов,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аукционов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запроса котировок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форме: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на право оказания ритуальных услуг по итогам открытого конкурса заключен договор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уборка кладбищ и мемориала по итогам электронного аукциона заключен МК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транспортировка тел умерших, не связанная с оказанием ритуальных услуг по итогам электронного аукциона заключен МК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компания». Деятельность по ритуальным услугам осуществляют СМКУ «Специализированная служба»,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</w:t>
      </w:r>
      <w:r w:rsidR="00DC0AC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0AC4" w:rsidRPr="003D2113" w:rsidRDefault="00DC0AC4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услуг по охране кладбищ.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кадастровых и землеустроительных работ</w:t>
      </w:r>
      <w:r w:rsidR="0009720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3D2113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направлены на реорганизацию или ликвидацию муниципальных унитарных предприятий, осуществляющих деятельность в сфере кадастровых и землеустроительных работ, в соответствии с Федеральным законом от 27.12.2019 № 485-ФЗ "О внесении изменений в Федеральный закон "О государственных и муниципальных унитарных предприятиях" и Федеральный закон "О защите конкуренции".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«ТД АМАРО» компания производит полный цикл рабочей одежды и текстильных изделий; является торгово-швейным предприятиям, снабжающим производственные, строительные организации средствами индивидуальной защиты в короткие сроки с максимально гибкими условиями.</w:t>
      </w:r>
    </w:p>
    <w:p w:rsidR="00F905C4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«ЭЛКОМ» - основным видом деятельности является </w:t>
      </w:r>
      <w:hyperlink r:id="rId8" w:history="1">
        <w:r w:rsidRPr="003D21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производство вязаных и трикотажных изделий одежды</w:t>
        </w:r>
      </w:hyperlink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 Рынок обработки древесины и производства изделий из дерева.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Мусихин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Викторович - основной вид деятельности производство прочих деревянных изделий; производство изделий из пробки, соломки и материалов для плетения. </w:t>
      </w:r>
    </w:p>
    <w:p w:rsidR="008F103D" w:rsidRPr="003D2113" w:rsidRDefault="008F103D" w:rsidP="00AE79F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ИП Юрков Антон Сергеевич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3D211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основным видом деятельности является производство прочих деревянных изделий производство изделий из пробки, соломки и материалов для плетения. Сейчас это процветающий бизнес, в котором сосредоточилось все, о чем может мечтать владелец собственного дела: творчество, внушительные заказы, обмен опытом, дружба и семейное благополучие.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Системные мероприятия по развитию конкурентной среды в Сосновоборском городском округе.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1"/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конкурентоспособности товаров, работ, услуг субъектов малого и среднего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предпринимательства: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94AAF"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информационная, консультационная и образовательная поддержка субъектов малого и среднего предпринимательства -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уникальных клиентов-субъектов СМП, получивших поддержку -</w:t>
      </w:r>
      <w:r w:rsidR="00693A62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845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субъектов</w:t>
      </w: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СМП по данным Реестра ФНС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</w:t>
      </w:r>
      <w:r w:rsidR="008977AF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4A57A6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B049D7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2170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>-</w:t>
      </w:r>
      <w:r w:rsidR="00294AAF"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 о</w:t>
      </w:r>
      <w:r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казание методической и консультационной помощи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консультативной 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помощи гражданам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</w:r>
      <w:r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по вопросам участия в ярмарках и организации нестационарных торговых объектов</w:t>
      </w:r>
      <w:r w:rsidR="00693A6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</w:p>
    <w:p w:rsidR="000D4002" w:rsidRPr="003D2113" w:rsidRDefault="000D4002" w:rsidP="00AE79F5">
      <w:pPr>
        <w:spacing w:after="0" w:line="240" w:lineRule="auto"/>
        <w:ind w:firstLine="709"/>
        <w:jc w:val="both"/>
        <w:rPr>
          <w:rStyle w:val="10pt0pt"/>
          <w:rFonts w:eastAsia="Calibri"/>
          <w:b w:val="0"/>
          <w:color w:val="000000" w:themeColor="text1"/>
          <w:sz w:val="24"/>
          <w:szCs w:val="24"/>
        </w:rPr>
      </w:pPr>
      <w:r w:rsidRPr="003D2113">
        <w:rPr>
          <w:rStyle w:val="10pt0pt"/>
          <w:rFonts w:eastAsia="Calibri"/>
          <w:b w:val="0"/>
          <w:color w:val="000000" w:themeColor="text1"/>
          <w:sz w:val="24"/>
          <w:szCs w:val="24"/>
        </w:rPr>
        <w:t>2. Устранение избыточного государственного и муниципального регулирования, а также снижение административных барьеров.</w:t>
      </w:r>
    </w:p>
    <w:p w:rsidR="007405FA" w:rsidRPr="003D2113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18C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экспертизы нормативных актов Сосновоборского городского округа, затрагивающих вопросы осуществления предпринимательской и инвес</w:t>
      </w:r>
      <w:r w:rsidR="00C34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тиционной деятельности. 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CC6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кспертиз 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4C730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мативно-правовых актов</w:t>
      </w:r>
      <w:r w:rsidR="00C34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проводилось.</w:t>
      </w:r>
    </w:p>
    <w:p w:rsidR="000D4002" w:rsidRPr="003D2113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77AD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</w:r>
      <w:r w:rsidR="00FF1FC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4002" w:rsidRPr="003D2113" w:rsidRDefault="004E634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3B495E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>(</w:t>
      </w:r>
      <w:hyperlink r:id="rId9" w:history="1"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torgi</w:t>
        </w:r>
        <w:proofErr w:type="spellEnd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gov</w:t>
        </w:r>
        <w:proofErr w:type="spellEnd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 xml:space="preserve">)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и на официальном сайте </w:t>
      </w:r>
      <w:r w:rsidR="000D4002"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Сосновоборского городского округа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в сети «Ин</w:t>
      </w:r>
      <w:bookmarkStart w:id="0" w:name="_GoBack"/>
      <w:bookmarkEnd w:id="0"/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тернет»</w:t>
      </w:r>
      <w:r w:rsidR="00C34CC6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0D4002" w:rsidRPr="003D211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Количество объявленных аукционов</w:t>
      </w:r>
      <w:r w:rsidR="00FF1FCF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936D98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3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  <w:r w:rsidR="000D4002"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D4002" w:rsidRPr="003D2113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D2113">
        <w:rPr>
          <w:rStyle w:val="10pt"/>
          <w:rFonts w:eastAsiaTheme="minorHAnsi"/>
          <w:color w:val="000000" w:themeColor="text1"/>
          <w:sz w:val="24"/>
          <w:szCs w:val="24"/>
        </w:rPr>
        <w:t>-</w:t>
      </w:r>
      <w:r w:rsidR="003B495E"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Снижение количества муниципальных унитарных предприятий </w:t>
      </w:r>
      <w:r w:rsidR="000D4002" w:rsidRPr="003D2113">
        <w:rPr>
          <w:rStyle w:val="10pt"/>
          <w:rFonts w:eastAsiaTheme="minorHAnsi"/>
          <w:color w:val="000000" w:themeColor="text1"/>
          <w:spacing w:val="4"/>
          <w:sz w:val="24"/>
          <w:szCs w:val="24"/>
        </w:rPr>
        <w:t xml:space="preserve">Сосновоборского городского округа: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действующих -  </w:t>
      </w:r>
      <w:r w:rsidR="007405FA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предприятия</w:t>
      </w:r>
      <w:r w:rsidR="00F957AF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0D4002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Одно муниципальное предприятие - СМУП ЖКО "Комфорт" не может быть ликвидировано по причине наличия налоговой задолженности, в </w:t>
      </w:r>
      <w:r w:rsidR="004434C6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связи,</w:t>
      </w:r>
      <w:r w:rsidR="000D4002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 чем инициирована процедура банкротства.</w:t>
      </w:r>
    </w:p>
    <w:p w:rsidR="000D4002" w:rsidRPr="003D2113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- </w:t>
      </w:r>
      <w:r w:rsidR="000D4002" w:rsidRPr="003D2113">
        <w:rPr>
          <w:rStyle w:val="95pt0pt"/>
          <w:rFonts w:eastAsia="Arial"/>
          <w:color w:val="000000" w:themeColor="text1"/>
          <w:sz w:val="24"/>
          <w:szCs w:val="24"/>
        </w:rPr>
        <w:t>Оказание имущественной поддержки субъектам малого и среднего предпринимательства -</w:t>
      </w:r>
      <w:r w:rsidR="000D4002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порядке предоставления муниципальной преференции нежилые помещения переданы в </w:t>
      </w:r>
      <w:r w:rsidR="00AF38A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аренду 20</w:t>
      </w:r>
      <w:r w:rsidR="00942B46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субъектам малого и среднего предпринимательства</w:t>
      </w:r>
      <w:r w:rsidR="00CD244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47F7" w:rsidRPr="003D2113" w:rsidRDefault="00E4148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B068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B4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 п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 экономики и социальной сферы Сосновоборского городского округа за </w:t>
      </w:r>
      <w:r w:rsidR="00FC45E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первый</w:t>
      </w:r>
      <w:r w:rsidR="004D4D4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квартал 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C45E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41FA" w:rsidRPr="003D2113" w:rsidRDefault="0013615E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64038190"/>
      <w:bookmarkStart w:id="2" w:name="_Toc65767822"/>
      <w:bookmarkStart w:id="3" w:name="_Toc81574879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действуют три крупные организации, осуществляющие научные исследования и разработки, как по государственному заказу, так и по договорам с негосударственными заказчиками. Лидерами этой отрасли являются: ФГУП «НИТИ им. А.П. Александрова», АО «НИИ ОЭП».</w:t>
      </w:r>
    </w:p>
    <w:p w:rsidR="004F0F96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</w:t>
      </w:r>
      <w:bookmarkEnd w:id="1"/>
      <w:bookmarkEnd w:id="2"/>
      <w:bookmarkEnd w:id="3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предпринимательство</w:t>
      </w:r>
      <w:r w:rsidR="002F573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F96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007E5E" w:rsidRPr="003D2113" w:rsidRDefault="00007E5E" w:rsidP="00AE1B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78970818"/>
      <w:bookmarkStart w:id="5" w:name="_Toc81574882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20 торговых сетей, крупнейшими из которых являются «Магнит» (12 магазинов),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Дикси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(11 магазинов), «Верны</w:t>
      </w:r>
      <w:r w:rsidR="00C34CC6">
        <w:rPr>
          <w:rFonts w:ascii="Times New Roman" w:hAnsi="Times New Roman" w:cs="Times New Roman"/>
          <w:color w:val="000000" w:themeColor="text1"/>
          <w:sz w:val="24"/>
          <w:szCs w:val="24"/>
        </w:rPr>
        <w:t>й» (7 магазинов), «Пятерочка» (5 магазинов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), «Перекресток» (2 магазина), «Лента» (2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Вимос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«Светофор»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Семишагофф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«Красное и Белое» (9 магазинов),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РосАл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(3 магазина), «Градусы Всего Мира» (3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Винлаб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(2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Мильстрим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Фанагория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FixPrice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(5 магазинов), «Магнит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(4 магазина), «Улыбка Радуги» (3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Доброцен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 магазин). </w:t>
      </w:r>
    </w:p>
    <w:p w:rsidR="00007E5E" w:rsidRPr="003D2113" w:rsidRDefault="00007E5E" w:rsidP="00C34C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состоянию на 01.04.2026г. на территории городско</w:t>
      </w:r>
      <w:r w:rsidR="00C34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округа функционировало более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300 объектов стац</w:t>
      </w:r>
      <w:r w:rsidR="00177999">
        <w:rPr>
          <w:rFonts w:ascii="Times New Roman" w:hAnsi="Times New Roman" w:cs="Times New Roman"/>
          <w:color w:val="000000" w:themeColor="text1"/>
          <w:sz w:val="24"/>
          <w:szCs w:val="24"/>
        </w:rPr>
        <w:t>ионарной розничной торговли, 139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нестационарных торговых объектов. </w:t>
      </w:r>
    </w:p>
    <w:p w:rsidR="00007E5E" w:rsidRPr="003D2113" w:rsidRDefault="00007E5E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7F7" w:rsidRPr="003D2113" w:rsidRDefault="004A47F7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Социальная сфера</w:t>
      </w:r>
      <w:bookmarkEnd w:id="4"/>
      <w:bookmarkEnd w:id="5"/>
    </w:p>
    <w:p w:rsidR="00D31D55" w:rsidRPr="003D2113" w:rsidRDefault="00D31D55" w:rsidP="00007E5E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bookmarkStart w:id="6" w:name="_Toc64038199"/>
      <w:bookmarkStart w:id="7" w:name="_Toc65767831"/>
      <w:bookmarkStart w:id="8" w:name="_Toc81574883"/>
    </w:p>
    <w:p w:rsidR="004A47F7" w:rsidRPr="003D2113" w:rsidRDefault="004A47F7" w:rsidP="00AE79F5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r w:rsidRPr="003D2113">
        <w:rPr>
          <w:b w:val="0"/>
          <w:color w:val="000000" w:themeColor="text1"/>
          <w:sz w:val="24"/>
          <w:szCs w:val="24"/>
        </w:rPr>
        <w:t>Образование</w:t>
      </w:r>
      <w:bookmarkEnd w:id="6"/>
      <w:bookmarkEnd w:id="7"/>
      <w:bookmarkEnd w:id="8"/>
      <w:r w:rsidR="002F573E" w:rsidRPr="003D2113">
        <w:rPr>
          <w:b w:val="0"/>
          <w:color w:val="000000" w:themeColor="text1"/>
          <w:sz w:val="24"/>
          <w:szCs w:val="24"/>
        </w:rPr>
        <w:t>.</w:t>
      </w:r>
    </w:p>
    <w:p w:rsidR="004A47F7" w:rsidRPr="003D2113" w:rsidRDefault="004A47F7" w:rsidP="00AE79F5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222304986"/>
      <w:bookmarkStart w:id="10" w:name="_Toc262627983"/>
      <w:bookmarkStart w:id="11" w:name="_Toc284593029"/>
    </w:p>
    <w:p w:rsidR="00211584" w:rsidRPr="003D2113" w:rsidRDefault="004134AF" w:rsidP="002115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64038200"/>
      <w:bookmarkStart w:id="13" w:name="_Toc65767832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</w:t>
      </w:r>
      <w:r w:rsidR="00F75FD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12B5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городская образовательная сеть </w:t>
      </w:r>
      <w:r w:rsidR="004C11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включает: 9 муниципальных общеобразовательных учреждений, в том числе гимназию, лицей, школу с углубленным изучением английского языка, 1 частную школу, 15 дошкольных образовательных учреждений, в том числе 3 центра развития ребенка, 4 учреждения дополнительного образования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584" w:rsidRPr="003D2113" w:rsidRDefault="001D6CE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01.04</w:t>
      </w:r>
      <w:r w:rsidR="00ED027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4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2B5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4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9 муниципальных общеобразовательных учреждениях обучалось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6962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человек. </w:t>
      </w:r>
    </w:p>
    <w:p w:rsidR="00211584" w:rsidRPr="003D2113" w:rsidRDefault="00F12B5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01.01.2026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муниципальных образовательных организациях города работали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870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работников, в том числе в МБОУ -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учреждениях 412 (из них учителей – 360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чел.), МБДОУ -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361 (воспитателей – 245</w:t>
      </w:r>
      <w:r w:rsidR="0083027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чел.), МБОУ ДО - 97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образования Сосновоборского городского округа функционирует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222304989"/>
      <w:bookmarkStart w:id="15" w:name="_Toc262627985"/>
      <w:bookmarkStart w:id="16" w:name="_Toc284593031"/>
      <w:bookmarkEnd w:id="9"/>
      <w:bookmarkEnd w:id="10"/>
      <w:bookmarkEnd w:id="11"/>
      <w:bookmarkEnd w:id="12"/>
      <w:bookmarkEnd w:id="13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Система социального обслуживания населения Сосновоборского городского округа представлена: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ЛОГКУ «Центр социальной защиты населения» (ЛОГКУ «ЦСЗН») филиал в Сосновоборском городском округе;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C225F8" w:rsidRPr="003D2113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="00C225F8" w:rsidRPr="003D2113">
        <w:rPr>
          <w:rFonts w:ascii="Times New Roman" w:hAnsi="Times New Roman" w:cs="Times New Roman"/>
          <w:color w:val="000000" w:themeColor="text1"/>
          <w:sz w:val="24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3D2113" w:rsidRDefault="00C225F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</w:t>
      </w:r>
      <w:r w:rsidR="00830271" w:rsidRPr="003D2113">
        <w:rPr>
          <w:rFonts w:ascii="Times New Roman" w:hAnsi="Times New Roman" w:cs="Times New Roman"/>
          <w:color w:val="000000" w:themeColor="text1"/>
          <w:sz w:val="24"/>
        </w:rPr>
        <w:t>лефона доверия - 8-800-2000-122.</w:t>
      </w:r>
    </w:p>
    <w:p w:rsidR="004A47F7" w:rsidRPr="003D2113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ЛОГАУ «Сосновоборский КЦСОН»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3D2113" w:rsidRDefault="00C225F8" w:rsidP="002C06A9">
      <w:pPr>
        <w:pStyle w:val="a8"/>
        <w:ind w:firstLine="709"/>
        <w:jc w:val="center"/>
        <w:rPr>
          <w:color w:val="000000" w:themeColor="text1"/>
        </w:rPr>
      </w:pPr>
      <w:r w:rsidRPr="003D2113">
        <w:rPr>
          <w:color w:val="000000" w:themeColor="text1"/>
        </w:rPr>
        <w:t>Сеть учреждений и организаций здравоохранения.</w:t>
      </w:r>
    </w:p>
    <w:p w:rsidR="003C2B85" w:rsidRPr="003D2113" w:rsidRDefault="00C225F8" w:rsidP="00C225F8">
      <w:pPr>
        <w:pStyle w:val="a8"/>
        <w:ind w:firstLine="709"/>
        <w:rPr>
          <w:color w:val="000000" w:themeColor="text1"/>
        </w:rPr>
      </w:pPr>
      <w:r w:rsidRPr="003D2113">
        <w:rPr>
          <w:color w:val="000000" w:themeColor="text1"/>
        </w:rPr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медико-санитарная часть № 38 Федерального  ме</w:t>
      </w:r>
      <w:r w:rsidR="002C06A9" w:rsidRPr="003D2113">
        <w:rPr>
          <w:color w:val="000000" w:themeColor="text1"/>
        </w:rPr>
        <w:t xml:space="preserve">дико-биологического агентства» </w:t>
      </w:r>
      <w:r w:rsidRPr="003D2113">
        <w:rPr>
          <w:color w:val="000000" w:themeColor="text1"/>
        </w:rPr>
        <w:t xml:space="preserve">(далее - ФГБУЗ ЦМСЧ № 38 ФМБА России или ЦМСЧ </w:t>
      </w:r>
      <w:r w:rsidR="002C06A9" w:rsidRPr="003D2113">
        <w:rPr>
          <w:color w:val="000000" w:themeColor="text1"/>
        </w:rPr>
        <w:t xml:space="preserve">№ 38), санаторий-профилакторий </w:t>
      </w:r>
      <w:r w:rsidRPr="003D2113">
        <w:rPr>
          <w:color w:val="000000" w:themeColor="text1"/>
        </w:rPr>
        <w:t>«</w:t>
      </w:r>
      <w:proofErr w:type="spellStart"/>
      <w:r w:rsidRPr="003D2113">
        <w:rPr>
          <w:color w:val="000000" w:themeColor="text1"/>
        </w:rPr>
        <w:t>Копанское</w:t>
      </w:r>
      <w:proofErr w:type="spellEnd"/>
      <w:r w:rsidRPr="003D2113">
        <w:rPr>
          <w:color w:val="000000" w:themeColor="text1"/>
        </w:rPr>
        <w:t>» филиала концерна «Росэнергоатом» «ЛАС»; 12 здравпунктов на предприятиях; 17 аптек и 20 аптечных пунктов</w:t>
      </w:r>
      <w:r w:rsidR="003C2B85" w:rsidRPr="003D2113">
        <w:rPr>
          <w:color w:val="000000" w:themeColor="text1"/>
        </w:rPr>
        <w:t xml:space="preserve"> </w:t>
      </w:r>
      <w:r w:rsidR="00F47F8D" w:rsidRPr="003D2113">
        <w:rPr>
          <w:color w:val="000000" w:themeColor="text1"/>
        </w:rPr>
        <w:t>всего - 37 (15 аптек  и 19 аптечных пунктов, всего- 34 в 2024 г.);  представительства 2 страховых медицинских организаций АО «СК «СОГАЗ-Мед», ООО «Капитал - МС»; 11 частнопрактикующих медицинских учреждений (стоматологические: «</w:t>
      </w:r>
      <w:proofErr w:type="spellStart"/>
      <w:r w:rsidR="00F47F8D" w:rsidRPr="003D2113">
        <w:rPr>
          <w:color w:val="000000" w:themeColor="text1"/>
        </w:rPr>
        <w:t>Элефант</w:t>
      </w:r>
      <w:proofErr w:type="spellEnd"/>
      <w:r w:rsidR="00F47F8D" w:rsidRPr="003D2113">
        <w:rPr>
          <w:color w:val="000000" w:themeColor="text1"/>
        </w:rPr>
        <w:t>», «КЭС «</w:t>
      </w:r>
      <w:proofErr w:type="spellStart"/>
      <w:r w:rsidR="00F47F8D" w:rsidRPr="003D2113">
        <w:rPr>
          <w:color w:val="000000" w:themeColor="text1"/>
        </w:rPr>
        <w:t>СБорДент</w:t>
      </w:r>
      <w:proofErr w:type="spellEnd"/>
      <w:r w:rsidR="00F47F8D" w:rsidRPr="003D2113">
        <w:rPr>
          <w:color w:val="000000" w:themeColor="text1"/>
        </w:rPr>
        <w:t>», «Сонет», «</w:t>
      </w:r>
      <w:proofErr w:type="spellStart"/>
      <w:r w:rsidR="00F47F8D" w:rsidRPr="003D2113">
        <w:rPr>
          <w:color w:val="000000" w:themeColor="text1"/>
        </w:rPr>
        <w:t>АСДдент</w:t>
      </w:r>
      <w:proofErr w:type="spellEnd"/>
      <w:r w:rsidR="00F47F8D" w:rsidRPr="003D2113">
        <w:rPr>
          <w:color w:val="000000" w:themeColor="text1"/>
        </w:rPr>
        <w:t>», медицинские центры: «Здоровье», «</w:t>
      </w:r>
      <w:proofErr w:type="spellStart"/>
      <w:r w:rsidR="00F47F8D" w:rsidRPr="003D2113">
        <w:rPr>
          <w:color w:val="000000" w:themeColor="text1"/>
        </w:rPr>
        <w:t>Медлайн</w:t>
      </w:r>
      <w:proofErr w:type="spellEnd"/>
      <w:r w:rsidR="00F47F8D" w:rsidRPr="003D2113">
        <w:rPr>
          <w:color w:val="000000" w:themeColor="text1"/>
        </w:rPr>
        <w:t xml:space="preserve">» ООО </w:t>
      </w:r>
      <w:r w:rsidR="00F47F8D" w:rsidRPr="003D2113">
        <w:rPr>
          <w:color w:val="000000" w:themeColor="text1"/>
        </w:rPr>
        <w:lastRenderedPageBreak/>
        <w:t>«Положительный фактор», «Панацея», «Меридиан» («Дантист»), «Центр медицинских анализов», «Центр семейной медицины «ТИТАНМЕД», «</w:t>
      </w:r>
      <w:proofErr w:type="spellStart"/>
      <w:r w:rsidR="00F47F8D" w:rsidRPr="003D2113">
        <w:rPr>
          <w:color w:val="000000" w:themeColor="text1"/>
        </w:rPr>
        <w:t>МедиКО</w:t>
      </w:r>
      <w:proofErr w:type="spellEnd"/>
      <w:r w:rsidR="00F47F8D" w:rsidRPr="003D2113">
        <w:rPr>
          <w:color w:val="000000" w:themeColor="text1"/>
        </w:rPr>
        <w:t xml:space="preserve">» Центр </w:t>
      </w:r>
      <w:proofErr w:type="spellStart"/>
      <w:r w:rsidR="00F47F8D" w:rsidRPr="003D2113">
        <w:rPr>
          <w:color w:val="000000" w:themeColor="text1"/>
        </w:rPr>
        <w:t>нейротерапии</w:t>
      </w:r>
      <w:proofErr w:type="spellEnd"/>
      <w:r w:rsidR="00F47F8D" w:rsidRPr="003D2113">
        <w:rPr>
          <w:color w:val="000000" w:themeColor="text1"/>
        </w:rPr>
        <w:t>»)</w:t>
      </w:r>
      <w:r w:rsidR="00F64FBC" w:rsidRPr="003D2113">
        <w:rPr>
          <w:color w:val="000000" w:themeColor="text1"/>
        </w:rPr>
        <w:t>.</w:t>
      </w:r>
    </w:p>
    <w:p w:rsidR="00F64FBC" w:rsidRPr="003D2113" w:rsidRDefault="00F64FB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</w:rPr>
        <w:t>г.Сосновый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Бор Ленинградской области, Федеральное государственное бюджетное учреждение здравоохранения Центр гигиены и эп</w:t>
      </w:r>
      <w:r w:rsidR="002C06A9" w:rsidRPr="003D2113">
        <w:rPr>
          <w:rFonts w:ascii="Times New Roman" w:hAnsi="Times New Roman" w:cs="Times New Roman"/>
          <w:color w:val="000000" w:themeColor="text1"/>
          <w:sz w:val="24"/>
        </w:rPr>
        <w:t>идемиологии № 38 ФМБА России.</w:t>
      </w:r>
    </w:p>
    <w:p w:rsidR="00F64FBC" w:rsidRPr="003D2113" w:rsidRDefault="00F64FBC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222304990"/>
      <w:bookmarkStart w:id="18" w:name="_Toc262627986"/>
      <w:bookmarkStart w:id="19" w:name="_Toc284593032"/>
      <w:bookmarkEnd w:id="14"/>
      <w:bookmarkEnd w:id="15"/>
      <w:bookmarkEnd w:id="16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полученной лицензией ФГБУЗ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ЦМСЧ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38 ФМБА России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оказывать порядка 100 видов медицинской помощи в амбулаторно-поликлинических и стационарных условиях, осуществлять экспертную деятельность, фармацевтическую деятельность, в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связанную с оборотом наркотических средств и психотропных веществ, и др. </w:t>
      </w:r>
    </w:p>
    <w:p w:rsidR="00F47F8D" w:rsidRPr="003D2113" w:rsidRDefault="00F47F8D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ЦМСЧ № 38 входят две поликлиники – городская (взрослая) и детская; стационар на 302 круглосуточных койки (в 2024 г. - 290), отделение дневного пребывания на 30 коек. Обеспеченность койками круглосуточного стационара на 10000 населения –  47,1. </w:t>
      </w:r>
    </w:p>
    <w:p w:rsidR="004A47F7" w:rsidRPr="003D2113" w:rsidRDefault="004A47F7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Сеть учреждений сферы культуры, уровень обеспеченности отрасли сетью учреждений.</w:t>
      </w:r>
    </w:p>
    <w:p w:rsidR="00F47F8D" w:rsidRPr="003D2113" w:rsidRDefault="00F47F8D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20" w:name="_Toc64038203"/>
      <w:bookmarkStart w:id="21" w:name="_Toc222304993"/>
      <w:bookmarkStart w:id="22" w:name="_Toc284574147"/>
      <w:bookmarkStart w:id="23" w:name="_Toc331521122"/>
      <w:bookmarkEnd w:id="17"/>
      <w:bookmarkEnd w:id="18"/>
      <w:bookmarkEnd w:id="19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Сеть муниципальных учреждений культуры представлена в количестве 10 учреждений, что соответствует уровню прошлого года, в которых работает 5 работников культуры со званием «Заслуженный работник культуры Российской Федерации», 17 творческих коллектива имеет звание «Народный» и «Образцовый». 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на территории Сосновоборского городского округа (далее по тексту – округа) функционирует </w:t>
      </w:r>
      <w:r w:rsidR="00F47F8D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199 с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тью 4525 человека.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объекты входят: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- 4 спортивных комплекса -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 площадью: 36898,4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спортивно-тренировочный центр - общей площадью: 1431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- 5 плавательных бассейнов с площадью зеркала воды: 579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лыжная база - общей площадью: 237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- 2 сооружения для стрелковых видов спорта - общей площадью: 975.5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- 73 спортивных зала - общей площадью: 16 438 кв. м.</w:t>
      </w:r>
    </w:p>
    <w:p w:rsidR="00F47F8D" w:rsidRPr="003D2113" w:rsidRDefault="00F47F8D" w:rsidP="00F47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bookmarkEnd w:id="20"/>
    <w:bookmarkEnd w:id="21"/>
    <w:bookmarkEnd w:id="22"/>
    <w:bookmarkEnd w:id="23"/>
    <w:p w:rsidR="00F47F8D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«Детско-юношеская спортивная школа» (директор В.П. Давыдова);</w:t>
      </w:r>
    </w:p>
    <w:p w:rsidR="00F47F8D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«Дом детского туризма и экскурсий «</w:t>
      </w:r>
      <w:proofErr w:type="spellStart"/>
      <w:r w:rsidRPr="003D2113">
        <w:rPr>
          <w:rFonts w:eastAsiaTheme="minorHAnsi"/>
          <w:color w:val="000000" w:themeColor="text1"/>
        </w:rPr>
        <w:t>Ювента</w:t>
      </w:r>
      <w:proofErr w:type="spellEnd"/>
      <w:r w:rsidRPr="003D2113">
        <w:rPr>
          <w:rFonts w:eastAsiaTheme="minorHAnsi"/>
          <w:color w:val="000000" w:themeColor="text1"/>
        </w:rPr>
        <w:t xml:space="preserve">» (директор А.П. </w:t>
      </w:r>
      <w:proofErr w:type="spellStart"/>
      <w:r w:rsidRPr="003D2113">
        <w:rPr>
          <w:rFonts w:eastAsiaTheme="minorHAnsi"/>
          <w:color w:val="000000" w:themeColor="text1"/>
        </w:rPr>
        <w:t>Маханьков</w:t>
      </w:r>
      <w:proofErr w:type="spellEnd"/>
      <w:r w:rsidRPr="003D2113">
        <w:rPr>
          <w:rFonts w:eastAsiaTheme="minorHAnsi"/>
          <w:color w:val="000000" w:themeColor="text1"/>
        </w:rPr>
        <w:t>).</w:t>
      </w:r>
    </w:p>
    <w:p w:rsidR="00550850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На территории округа развивается более 50 видов спорта. Численность занимающихся, физической культурой и спортом составляет: 37963 человек</w:t>
      </w:r>
      <w:r w:rsidR="002C06A9" w:rsidRPr="003D2113">
        <w:rPr>
          <w:rFonts w:eastAsiaTheme="minorHAnsi"/>
          <w:color w:val="000000" w:themeColor="text1"/>
        </w:rPr>
        <w:t>.</w:t>
      </w:r>
    </w:p>
    <w:p w:rsidR="004A47F7" w:rsidRPr="003D2113" w:rsidRDefault="004A47F7" w:rsidP="00AE79F5">
      <w:pPr>
        <w:pStyle w:val="21"/>
        <w:ind w:firstLine="709"/>
        <w:rPr>
          <w:color w:val="000000" w:themeColor="text1"/>
        </w:rPr>
      </w:pPr>
      <w:r w:rsidRPr="003D2113">
        <w:rPr>
          <w:color w:val="000000" w:themeColor="text1"/>
        </w:rPr>
        <w:t>Сеть учреждений в сфере молодёжной политики.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молодыми жителями Сосновоборского городского округа использ</w:t>
      </w:r>
      <w:r w:rsidR="00155E63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овался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комплексный подход в реализации государственной молодёжной политики.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осуществления деятельности, направленной на создание эффективной системы реализации молодёжной политики, подготовку и проведение молодёжных и спортивно-массовых мероприятий продолжает функционировать муниципальное автономное учреждение «Молодёжный Центр «Диалог».</w:t>
      </w:r>
    </w:p>
    <w:p w:rsidR="00822970" w:rsidRPr="003D2113" w:rsidRDefault="0082297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В рамках оказания содействия молодёжи в вопросах временного трудоустройства отделом по молодёжной политике администрации Сосновоборского городского округа совместно со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</w:rPr>
        <w:t>Сосновоборским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филиалом ГКУ «ЦЗН Ленинградской области»</w:t>
      </w:r>
      <w:r w:rsidR="00DB30C1" w:rsidRPr="003D2113">
        <w:rPr>
          <w:rFonts w:ascii="Times New Roman" w:hAnsi="Times New Roman" w:cs="Times New Roman"/>
          <w:color w:val="000000" w:themeColor="text1"/>
          <w:sz w:val="24"/>
        </w:rPr>
        <w:t>.</w:t>
      </w:r>
      <w:r w:rsidR="00C34CC6">
        <w:rPr>
          <w:rFonts w:ascii="Times New Roman" w:hAnsi="Times New Roman" w:cs="Times New Roman"/>
          <w:color w:val="000000" w:themeColor="text1"/>
          <w:sz w:val="24"/>
        </w:rPr>
        <w:t xml:space="preserve"> В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>первом</w:t>
      </w:r>
      <w:r w:rsidR="000001D9" w:rsidRPr="003D2113">
        <w:rPr>
          <w:rFonts w:ascii="Times New Roman" w:hAnsi="Times New Roman" w:cs="Times New Roman"/>
          <w:color w:val="000000" w:themeColor="text1"/>
          <w:sz w:val="24"/>
        </w:rPr>
        <w:t xml:space="preserve"> квартале</w:t>
      </w:r>
      <w:r w:rsidR="00A35591" w:rsidRPr="003D2113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49591D" w:rsidRPr="003D2113">
        <w:rPr>
          <w:rFonts w:ascii="Times New Roman" w:hAnsi="Times New Roman" w:cs="Times New Roman"/>
          <w:color w:val="000000" w:themeColor="text1"/>
          <w:sz w:val="24"/>
        </w:rPr>
        <w:t>6</w:t>
      </w:r>
      <w:r w:rsidR="00A35591" w:rsidRPr="003D2113">
        <w:rPr>
          <w:rFonts w:ascii="Times New Roman" w:hAnsi="Times New Roman" w:cs="Times New Roman"/>
          <w:color w:val="000000" w:themeColor="text1"/>
          <w:sz w:val="24"/>
        </w:rPr>
        <w:t xml:space="preserve"> года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было трудоустроено </w:t>
      </w:r>
      <w:r w:rsidR="00DB30C1" w:rsidRPr="003D2113">
        <w:rPr>
          <w:rFonts w:ascii="Times New Roman" w:hAnsi="Times New Roman" w:cs="Times New Roman"/>
          <w:color w:val="000000" w:themeColor="text1"/>
          <w:sz w:val="24"/>
        </w:rPr>
        <w:t>15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несовершеннолетних граждан.</w:t>
      </w:r>
    </w:p>
    <w:p w:rsidR="00294AAF" w:rsidRPr="003D2113" w:rsidRDefault="00294AA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Основными работодателями для подростков в </w:t>
      </w:r>
      <w:r w:rsidR="00C34CC6">
        <w:rPr>
          <w:rFonts w:ascii="Times New Roman" w:hAnsi="Times New Roman" w:cs="Times New Roman"/>
          <w:color w:val="000000" w:themeColor="text1"/>
          <w:sz w:val="24"/>
        </w:rPr>
        <w:t>первом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 xml:space="preserve"> квартале 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>202</w:t>
      </w:r>
      <w:r w:rsidR="00C34CC6">
        <w:rPr>
          <w:rFonts w:ascii="Times New Roman" w:hAnsi="Times New Roman" w:cs="Times New Roman"/>
          <w:color w:val="000000" w:themeColor="text1"/>
          <w:sz w:val="24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год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>а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являлись 1</w:t>
      </w:r>
      <w:r w:rsidR="00BB5146" w:rsidRPr="003D2113">
        <w:rPr>
          <w:rFonts w:ascii="Times New Roman" w:hAnsi="Times New Roman" w:cs="Times New Roman"/>
          <w:color w:val="000000" w:themeColor="text1"/>
          <w:sz w:val="24"/>
        </w:rPr>
        <w:t>4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муниципальных учреждений Сосновоборского городского округа: общеобразовательные учреждения и учреждения дополнительного образования, культуры, спорта и МАУ «МЦ «Диалог»</w:t>
      </w:r>
      <w:r w:rsidR="00BB5146" w:rsidRPr="003D2113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A47F7" w:rsidRPr="003D2113" w:rsidRDefault="00B068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0D0A69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22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О р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04622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состояния и развития конкурентной среды на территории муниципального образования Сосновоборского городского округа Ленинградской области</w:t>
      </w:r>
      <w:r w:rsidR="00BF0BB7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квартал 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9591D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F573E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5C7" w:rsidRPr="003D2113" w:rsidRDefault="00CF35C7" w:rsidP="00AE79F5">
      <w:pPr>
        <w:pStyle w:val="aa"/>
        <w:ind w:firstLine="709"/>
        <w:jc w:val="both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Отделом экономического развития проведен опрос субъектов предпринимательской деятельности и потребителей (далее - респондентов) по разработанным анкетам для дальнейшего использования в разработке мер по улучшению состояния и развития конкурентной среды на рынках товаров, работ и 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услуг,</w:t>
      </w: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и определения приоритетных направлений работы.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является оценка условий для развития конкуренции между хозяйствующими субъектами в отраслях экономики, а также реализации результативности и эффективности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общества.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анкетировании приняли участие жители Сосновоборского городского </w:t>
      </w:r>
      <w:r w:rsidR="00430E50"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округа,</w:t>
      </w: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осуществляющие свою деятельность на территории </w:t>
      </w:r>
      <w:r w:rsidR="00430E50"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</w:t>
      </w: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потребителей установлено следующее: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0A6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социально-демографическим характеристикам: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жители Соснов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борского городского округа -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100 %.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 Доля респондентов по социально-демографическим характеристикам: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жители Соснов</w:t>
      </w:r>
      <w:r w:rsidR="0042108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борского городского округа -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100 %.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 Доля респондентов по гендерному признаку:</w:t>
      </w:r>
    </w:p>
    <w:p w:rsidR="00821792" w:rsidRPr="003D2113" w:rsidRDefault="00683C41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женщины – 86,0%;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мужчины – 14,0%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 Доля респондентов по возрасту: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от 21 лет до 35 лет – 30,6 %;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 36 лет до 50 лет 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– 47,2 %;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старше 51 года – 22,2 %.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 Доля респондентов по социальному статусу: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работают – 100%.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 Доля респондентов по количеству детей: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детей – 31 %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ребенок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- 2 детей – 35 %.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 Доля респондентов по уровню образования: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высшее образование –  90 %;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среднее специальное – 4%;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неполное высшее – 4%;</w:t>
      </w:r>
    </w:p>
    <w:p w:rsidR="00821792" w:rsidRPr="003D2113" w:rsidRDefault="00683C41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научная степень – 2%.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7.Доля респондентов по удовлетворенности количеством </w:t>
      </w:r>
      <w:r w:rsidR="00C027A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организаций,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представляющих следующие товары и услуги на рынках: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выполнения работ по благоустройству городской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42 %;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33 %.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35 %;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26 %;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4%;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35 %.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Сфера наружной рекламы: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69 %;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17 %;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14 %.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но-строительного проектирования: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 мало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34 %.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оказания услуг по перевозке пассажиров автомобильным транспортом по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 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маршрутам регулярных перевозок: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54 %;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23 %;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21 %.</w:t>
      </w:r>
    </w:p>
    <w:p w:rsidR="00821792" w:rsidRPr="003D2113" w:rsidRDefault="00C027A7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Рынок ритуальных услуг: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избыточно -13 %;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60 %;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16 %;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кадастро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вых и землеустроительных работ: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50 %;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29 %.</w:t>
      </w:r>
    </w:p>
    <w:p w:rsidR="00821792" w:rsidRPr="003D2113" w:rsidRDefault="00C027A7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избыточно –  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45 %;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- 20%.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обработки древесины и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производства изделий из дерева: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30 %;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3 %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 Насколько вы удовлетворе</w:t>
      </w:r>
      <w:r w:rsidR="00F567D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характеристиками следующих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товаров и услуг на рынках Со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сновоборского городского округа: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 -50 %;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удовлетворен-33 %;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удовлетворен-3 %;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удовлетворен-3 %;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ответить-11 %.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 Доля респондентов по оценке качества услуг субъектов естественных монополий: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Водоснабжение: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42 %;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11 %;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5 %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Газоснабжение: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0 %;</w:t>
      </w:r>
    </w:p>
    <w:p w:rsidR="00821792" w:rsidRPr="003D2113" w:rsidRDefault="00683C41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Электроснабжение: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скорее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–5 %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Теплоснабжение: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28 %;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8 %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Телефонная связь: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27 %;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 Доля респондентов по оценке качества официальной информации о состоянии конкурентной среды на рынках товаров и услуг, размещаемой в открытом доступе: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Уровень доступности: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7 %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удовлетворен 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36 %.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удовлетворен – 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39 %.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Удобство получения: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C027A7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0 %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39 %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 Доля респондентов, по мнению изменения количества организаций, предоставляющих следующие товары и услуги на рынках в течение последних 3 лет: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1.Рынок выполнения работ по благоустройству городской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17 %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43 %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33 %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C027A7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2.Сфера наружной рекламы: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22 %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–50 %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3.Рынок архитектурно-строительного проектирования: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50 %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31 %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4.Рынок оказания услуг по перевозке пассажиров автомобильным транспортом по муниципальным 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маршрутам регулярных перевозок: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11 %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61%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16 %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5.Ры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нок ритуальных услуг: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2 %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61 %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6.Рынок кадастро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вых и землеустроительных работ: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6 %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47%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47 %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7.Ры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нок легкой промышленности: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6 %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46 %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39 %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8.Рынок обработки древесины и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производства изделий из дерева: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3 %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6 %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44 %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47 %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опроса, о степени удовлетворенности потребителями качеством товаров, работ, услуг на товарных рынках можно отметить, что большинство опрошенных респон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>дентов были скорее удовлетворен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качеством оказываемых услуг.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сбора данных о состоянии и развитии конкурентной среды было опрошено 23 представителя бизнеса, которые являются собственниками бизнеса или индивидуальными предпринимателями.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предпринимателей установлено следующее: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сроку деятельности: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Менее 1 года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1 года до 5 лет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14 %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Более 5 лет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65 %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C02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отраслям: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Оптовая торговля (кроме торговли автотранспортными средствами и мотоциклами) - 4 %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Розничная торговля (кроме торговли автотранспортными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средствами и мотоциклами) - 83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Операции с недвижимым имуществом, аренда и предоставление услуг - 9 %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Другое (пожалуйста, укажите) торговля косметическими средствами - 4%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Респонденты по численности сотрудников организации: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 15 человек - 87 %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Свыше 1000 - 13%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4.Респонденты по величине годового оборота: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 120 млн. рублей (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микропредприятие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) - 83%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120 до 800 млн. рублей (малое предприятие) 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800 до 2000 млн. рублей (среднее предприятие) 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Более 2000 млн. рублей - 4%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- 5%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5.Доля респондентов по количеству конкурентов бизнеса: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Нет конкурентов - 27%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1 до 3 конкурентов - 4%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 и более конкурентов - 17 %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Большое число конкурентов - 26%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- 26%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 Доля респондентов по изменению числа конкурентов бизнеса: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 на 1-3 конкурента - 4 %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 более чем на 4 конкурента –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Сократ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илось на 1 - 3 конкурента - 4 %;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Сократилось более чем на 4 конкурента – 0 %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 изменилось - 32 %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- 43 %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6.Доля респондентов по оценке качества официальной информации о состоянии конкурентной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доступности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13 %;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56 %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30 %;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скорее удовлетворительное – 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Удобство получения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скорее удовлетворительное – 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40 %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7.Доля респондентов по оценке преодолимости административных барьеров для ведения текущей деятельности: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непреодолимые административные барьеры – 4 %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40 %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Административные барьеры есть,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но они преодолимы без существенных затрат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- 4 %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52 %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8.Доля наиболее существенных административных барьеров: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 получения доступа к земельным участкам –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Нестабильность российского законодательства, регулирующего предпринимательскую деятельность – 39 %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Коррупция (включая взятки, дискриминацию и предоставление преференций отдельным участникам на заведомо неравных условиях)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Высокие налоги – 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Нет ограничений -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18 %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9.Доля респондентов по оценке деятельности органов власти: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помогают бизнесу своими действиями –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10 %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ничего не предпринимают, что и требуется –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Органы власти только мешают бизнесу своими действиями –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чем-то органы власти помогают, в чем-то мешают - 17 %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– 39 %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10.Доля респондентов по оценке преодолимости административных барьеров: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непреодолимые административные барьеры – 4 %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 - 22 %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барьеры есть, но они преодолимы без существенных затрат - 4 %</w:t>
      </w:r>
      <w:r w:rsidR="005E346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– 70 %</w:t>
      </w:r>
      <w:r w:rsidR="00683C4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21A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Обобщая проведенное исследование о состоянии конкуренции на территории Сосновоборского городского округа, можно отметить следующее, что субъекты предпринимательской деятельности оценивают её удовлетворительно: основанная часть респондентов считает, что конкуренции нет (27%), отмечают незначительное увеличение количества конкурентов бизнеса за последние несколько лет (17%). Большинство респондентов считают, что административные барьеры преодолимыми при осуществлении значительных затрат (40%). По мнению респондентов, самым существенным для ведения текущей деятельности или открытия нового бизнеса административным барьером являются нестабильность российского законодательства, регулирующего предпринимательскую деятельность (39%). </w:t>
      </w:r>
      <w:r w:rsidR="004302B6"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B068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569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Реестр хозяйствующих субъектов, осуществляющих свою деятельность на территории Сосновоборского городского округа, доля участия муниципального образования,</w:t>
      </w:r>
      <w:r w:rsidR="009E3160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составляет 50 и более процентов за</w:t>
      </w:r>
      <w:r w:rsidR="003B34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1A8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-й квартал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11A8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E6F4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46C" w:rsidRPr="003D2113" w:rsidRDefault="003B34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4253"/>
      </w:tblGrid>
      <w:tr w:rsidR="00AE1B4A" w:rsidRPr="003D2113" w:rsidTr="003B346C">
        <w:trPr>
          <w:trHeight w:val="1683"/>
        </w:trPr>
        <w:tc>
          <w:tcPr>
            <w:tcW w:w="534" w:type="dxa"/>
          </w:tcPr>
          <w:p w:rsidR="003B346C" w:rsidRPr="003D2113" w:rsidRDefault="003B346C" w:rsidP="003B346C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товарного рынка присутствия хозяйствующего субъекта /наименование ОКВЭД</w:t>
            </w:r>
          </w:p>
        </w:tc>
      </w:tr>
      <w:tr w:rsidR="00AE1B4A" w:rsidRPr="003D2113" w:rsidTr="003B346C">
        <w:trPr>
          <w:trHeight w:val="851"/>
        </w:trPr>
        <w:tc>
          <w:tcPr>
            <w:tcW w:w="534" w:type="dxa"/>
          </w:tcPr>
          <w:p w:rsidR="003B346C" w:rsidRPr="003D2113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69E9"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«ТСП»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пара и горячей воды (тепловой энергии) котельными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35.30.14</w:t>
            </w:r>
          </w:p>
        </w:tc>
      </w:tr>
      <w:tr w:rsidR="00AE1B4A" w:rsidRPr="003D2113" w:rsidTr="003B346C">
        <w:trPr>
          <w:trHeight w:val="680"/>
        </w:trPr>
        <w:tc>
          <w:tcPr>
            <w:tcW w:w="534" w:type="dxa"/>
          </w:tcPr>
          <w:p w:rsidR="003B346C" w:rsidRPr="003D2113" w:rsidRDefault="004169E9" w:rsidP="00D42CA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«Водоканал»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и обработка сточных вод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90.00.1</w:t>
            </w:r>
          </w:p>
        </w:tc>
      </w:tr>
      <w:tr w:rsidR="00AE1B4A" w:rsidRPr="003D2113" w:rsidTr="003B346C">
        <w:trPr>
          <w:trHeight w:val="986"/>
        </w:trPr>
        <w:tc>
          <w:tcPr>
            <w:tcW w:w="534" w:type="dxa"/>
          </w:tcPr>
          <w:p w:rsidR="003B346C" w:rsidRPr="003D2113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169E9"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«Комфорт»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68.32.1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Style w:val="company-info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эксплуатацией жилого фонда за вознаграждение или на договорной основе</w:t>
            </w:r>
          </w:p>
        </w:tc>
      </w:tr>
    </w:tbl>
    <w:p w:rsidR="00F54A5F" w:rsidRPr="003D2113" w:rsidRDefault="00F54A5F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* СМУП «Комфорт» ини</w:t>
      </w:r>
      <w:r w:rsidR="00797E3C"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циирована процедура банкротства</w:t>
      </w:r>
      <w:r w:rsidR="00797E3C" w:rsidRPr="003D2113">
        <w:rPr>
          <w:color w:val="000000" w:themeColor="text1"/>
        </w:rPr>
        <w:t xml:space="preserve"> </w:t>
      </w:r>
      <w:r w:rsidR="00797E3C"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(дело № А56-77351/2022).</w:t>
      </w:r>
    </w:p>
    <w:p w:rsidR="00972061" w:rsidRPr="003D2113" w:rsidRDefault="00F54A5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**СМУП «Водоканал» осуществляет деятельность по обслуживанию дренажно-ливневой канализации.</w:t>
      </w:r>
    </w:p>
    <w:p w:rsidR="00E05765" w:rsidRPr="003D2113" w:rsidRDefault="00E0576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05765" w:rsidRPr="003D2113" w:rsidSect="000D0A69"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141283" w:rsidRPr="003D2113" w:rsidRDefault="00141283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О достижении ключевых показателей развития конкуренции на рынках товаров, работ и услуг, определенных в планах мероприятий.</w:t>
      </w:r>
    </w:p>
    <w:p w:rsidR="00F567DC" w:rsidRPr="003D2113" w:rsidRDefault="00F567DC" w:rsidP="00F567D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Отчета о реализации Плана мероприятий («дорожной карты») по содействию развитию конкуренции в Сосновоборском городском округе за 1 квартал 2026 г.</w:t>
      </w:r>
    </w:p>
    <w:p w:rsidR="00F567DC" w:rsidRPr="003D2113" w:rsidRDefault="00F567DC" w:rsidP="00F567D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68"/>
        <w:gridCol w:w="3899"/>
        <w:gridCol w:w="889"/>
        <w:gridCol w:w="161"/>
        <w:gridCol w:w="231"/>
        <w:gridCol w:w="1276"/>
        <w:gridCol w:w="2416"/>
        <w:gridCol w:w="2270"/>
      </w:tblGrid>
      <w:tr w:rsidR="00F567DC" w:rsidRPr="003D2113" w:rsidTr="00F567DC">
        <w:tc>
          <w:tcPr>
            <w:tcW w:w="566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Наименование ключевого показателя развития конкуренции в отраслях (сферах) экономики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F567DC" w:rsidRPr="003D2113" w:rsidTr="00F567DC">
        <w:trPr>
          <w:trHeight w:val="1830"/>
        </w:trPr>
        <w:tc>
          <w:tcPr>
            <w:tcW w:w="566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План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 кв.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63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 Мероприятия по содействию развитию конкуренции на рынках товаров, работ и услуг в Сосновоборском городском округе.</w:t>
            </w:r>
          </w:p>
        </w:tc>
      </w:tr>
      <w:tr w:rsidR="00F567DC" w:rsidRPr="003D2113" w:rsidTr="00F567DC">
        <w:trPr>
          <w:trHeight w:val="177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1.Рынок выполнения работ по благоустройству городской среды.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67DC" w:rsidRPr="003D2113" w:rsidTr="00F567DC"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конкурсных процедур на право заключения муниципальных контрактов на выполнение работ по благоустройству городской среды.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собственности.(%) 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Не менее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177999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32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Сфера наружной рекламы</w:t>
            </w:r>
          </w:p>
        </w:tc>
      </w:tr>
      <w:tr w:rsidR="00F567DC" w:rsidRPr="003D2113" w:rsidTr="00F567DC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содействия развитию конкуренции на рынке наружной рекламы 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 Размещение на официальных сайтах ОМСУ перечня всех нормативных правовых актов и местных локальных актов, регулирующих сферы наружной рекламы.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 xml:space="preserve">Доля организаций частной формы собственности в сфере наружной рекламы 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Схема размещения рекламных конструкций обновляется по мере внесения изменений.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Регулярно проводится мониторинг рекламных конструкций на территории Сосновоборского городского округа.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Консультирование предпринимателей в части размещения рекламных конструкций на территории Сосновоборского городского округа.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Выполняются поручения и учитываются рекомендации Правительства Ленинградской области.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Перечень НПА размещен на официальном сайте администрации Сосновоборского городского округа. Перечень НПА обновляется по мере внесения изменений.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30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3.Рынок архитектурно-строительного проектирования</w:t>
            </w:r>
          </w:p>
        </w:tc>
      </w:tr>
      <w:tr w:rsidR="00F567DC" w:rsidRPr="003D2113" w:rsidTr="00F567DC">
        <w:trPr>
          <w:trHeight w:val="84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 Разработка единых требований к подготовке документации в сфере архитектурно-строительного проектирования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Создана и функционирует ГИСОГД ЛО.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официальном сайте администрации Сосновоборского городского округа размещается информация о проведении конкурсов и семинаров.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Утверждены единые требования к подготовке документации в сфере архитектурно-строительного проектирования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8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F567DC" w:rsidRPr="003D2113" w:rsidTr="00F567DC">
        <w:trPr>
          <w:trHeight w:val="5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10" w:history="1">
              <w:r w:rsidRPr="003D21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законом</w:t>
              </w:r>
            </w:hyperlink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Актуализация документа планирования регулярных автоперевозок пассажиров по муниципальным маршрутам 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Ленинградской области с учетом предложений, изложенных в обращениях негосударственных перевозчиков.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муниципальные контракты по пассажирским перевозкам: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«Ленинградская АЭС-Авто» (МК № 0145300000124000252 от 07.12.2024г.) на период с 01.01.2025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0145300000125000229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01.11.2025г.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№ 0145300000125000236 от 07.11.2025г.)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0145300000125000227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31.10.2025г.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0145300000125000281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12.12.2025г.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0145300000125000228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01.11.2025г.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31.12.2026.</w:t>
            </w:r>
          </w:p>
        </w:tc>
        <w:tc>
          <w:tcPr>
            <w:tcW w:w="2270" w:type="dxa"/>
            <w:tcBorders>
              <w:bottom w:val="single" w:sz="3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8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5. Рынок ритуальных услуг</w:t>
            </w:r>
          </w:p>
        </w:tc>
      </w:tr>
      <w:tr w:rsidR="00F567DC" w:rsidRPr="003D2113" w:rsidTr="00F567DC">
        <w:trPr>
          <w:trHeight w:val="261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 общественных кладбищ и транспортировке тел умерших в соответствии с Федеральным законом № 44-ФЗ "О контрактной системе в сфере закупок товаров, работ, услуг для обеспечения государственных и муниципальных нужд" от 05.04.2013г.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договора и муниципальные контракты: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на право оказания ритуальных услуг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(Договор № 103 от 01.03.2024г.) сроком на 7 лет;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по уборке общественных кладбищ и мемориала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(МК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№0145300000125000208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от 14.11.2025г.) на период с 01.01.2026 по 31.12.2026г.;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 транспортировке тел умерших в морг с ООО «</w:t>
            </w:r>
            <w:proofErr w:type="spellStart"/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(МК №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0145300000125000207 от 27.10.2025г.) на период с 01.01.2026 по 31.12.2026.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6. Рынок кадастровых и землеустроительных работ</w:t>
            </w:r>
          </w:p>
        </w:tc>
      </w:tr>
      <w:tr w:rsidR="00177999" w:rsidRPr="003D2113" w:rsidTr="00FF0496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Определение государственных муниципальных) унитарных предприятий и хозяйственных обществ с участием Ленинградской области, 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  <w:p w:rsidR="00177999" w:rsidRPr="003D2113" w:rsidRDefault="00177999" w:rsidP="00177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Pr="003D2113" w:rsidRDefault="00177999" w:rsidP="001779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Default="00177999" w:rsidP="00177999">
            <w:pPr>
              <w:jc w:val="center"/>
            </w:pPr>
            <w:r w:rsidRPr="00731FC4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Pr="00E72D74" w:rsidRDefault="00177999" w:rsidP="0017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СМУП «</w:t>
            </w:r>
            <w:proofErr w:type="spellStart"/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Горкадастрпроект</w:t>
            </w:r>
            <w:proofErr w:type="spellEnd"/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» ликвидировано 30.09.2024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7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7.Рынок легкой промышленности</w:t>
            </w:r>
          </w:p>
        </w:tc>
      </w:tr>
      <w:tr w:rsidR="00F567DC" w:rsidRPr="003D2113" w:rsidTr="00F567DC">
        <w:trPr>
          <w:trHeight w:val="95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легкой промышленности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легкой промышленности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8.Рынок обработки древесины и производства изделий из дерева</w:t>
            </w:r>
          </w:p>
        </w:tc>
      </w:tr>
      <w:tr w:rsidR="00F567DC" w:rsidRPr="003D2113" w:rsidTr="00F567DC">
        <w:trPr>
          <w:trHeight w:val="127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3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II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 Системные мероприятия по развитию конкурентной среды в Сосновоборском городском округе</w:t>
            </w:r>
          </w:p>
        </w:tc>
      </w:tr>
      <w:tr w:rsidR="00F567DC" w:rsidRPr="003D2113" w:rsidTr="00F567DC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 Narrow" w:hAnsi="Times New Roman" w:cs="Arial Narrow"/>
                <w:b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  <w:r w:rsidRPr="003D2113">
              <w:rPr>
                <w:rFonts w:ascii="Times New Roman" w:eastAsia="Arial Narrow" w:hAnsi="Times New Roman" w:cs="Arial Narrow"/>
                <w:b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Целевые индикаторы, единица измерения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F567DC" w:rsidRPr="003D2113" w:rsidTr="00F567DC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План 2026 год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 кв.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2026г.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07"/>
        </w:trPr>
        <w:tc>
          <w:tcPr>
            <w:tcW w:w="151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Развитие конкурентоспособности товаров, работ, услуг субъектов малого и среднего предпринимательства.</w:t>
            </w:r>
          </w:p>
        </w:tc>
      </w:tr>
      <w:tr w:rsidR="00F567DC" w:rsidRPr="003D2113" w:rsidTr="00F567DC">
        <w:trPr>
          <w:trHeight w:val="1610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 поддержка в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9,2%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92%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Субъектов МСП всего – 2170, охвачено услугами – 199 субъектов.</w:t>
            </w:r>
          </w:p>
        </w:tc>
      </w:tr>
      <w:tr w:rsidR="00F567DC" w:rsidRPr="003D2113" w:rsidTr="00F567DC">
        <w:trPr>
          <w:trHeight w:val="1050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Увеличение количества нестационарных торговых объектов и торговых мест под них не менее чем на 5 процентов к 2030 году по отношению к 2025 году.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Количество нестационарных и мобильных торговых объектов, ед.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Новых НТО на территории СГО за I кв.2026г.- 1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58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Оказание методической и консультационной помощи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консультативной помощи гражданам,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по вопросам участия в ярмарках и организации нестационарных торговых объектов.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Количество обращений за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кв. 2026г. по: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1) вопросам НТО — 4;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2) вопросам  ярмарочных мероприятий — 0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04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 xml:space="preserve"> 2. Устранение избыточного государственного и муниципального регулирования, а также снижение административных барьеров.</w:t>
            </w:r>
          </w:p>
        </w:tc>
      </w:tr>
      <w:tr w:rsidR="00F567DC" w:rsidRPr="003D2113" w:rsidTr="00F567DC">
        <w:trPr>
          <w:trHeight w:val="1485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Содействие в устранении административных барьеров и препятствий сдерживающих развитие предпринимательства 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Проведение заседаний координационного совета по вопросам развития малого и среднего предпринимательства к общему числу запланированных заседаний на текущий год,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177999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73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3.Совершенствование процессов управления в рамках полномочий органов местного самоуправления, закрепленных за ними законодательством РФ, объектами государственной собственности субъекта РФ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F567DC" w:rsidRPr="003D2113" w:rsidTr="00F567DC">
        <w:trPr>
          <w:trHeight w:val="75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>(</w:t>
            </w:r>
            <w:hyperlink r:id="rId11" w:history="1"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www</w:t>
              </w:r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torgi</w:t>
              </w:r>
              <w:proofErr w:type="spellEnd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gov</w:t>
              </w:r>
              <w:proofErr w:type="spellEnd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ru</w:t>
              </w:r>
              <w:proofErr w:type="spellEnd"/>
            </w:hyperlink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 xml:space="preserve">) 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и на официальном сайте </w:t>
            </w: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 в сети «Интернет»</w:t>
            </w: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объявленных аукционов,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1 кв. 2026 г. было объявлено 3 аукциона</w:t>
            </w:r>
          </w:p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567DC" w:rsidRPr="003D2113" w:rsidTr="00F567DC">
        <w:trPr>
          <w:trHeight w:val="91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Снижение количества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муниципальных унитарных предприятий </w:t>
            </w: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действующих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муниципальных унитарных предприятий,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СМУП «ТСП», СМУП «ВОДОКАНАЛ»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СМУП ЖКО «Комфорт» в стадии банкротства (дело № А56-77351/2022)</w:t>
            </w:r>
          </w:p>
        </w:tc>
      </w:tr>
      <w:tr w:rsidR="00F567DC" w:rsidRPr="003D2113" w:rsidTr="00F567DC">
        <w:trPr>
          <w:trHeight w:val="282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хозяйственных обществ (товариществ), из которых осуществлен выход муниципального образования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567DC" w:rsidRPr="003D2113" w:rsidTr="00F567DC">
        <w:trPr>
          <w:trHeight w:val="1185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Подписано 8 постановлений о предоставлении муниципальной преференции в виде заключения договоров аренды помещений без проведения торгов</w:t>
            </w:r>
          </w:p>
        </w:tc>
      </w:tr>
      <w:tr w:rsidR="00F567DC" w:rsidRPr="003D2113" w:rsidTr="00F567DC">
        <w:trPr>
          <w:trHeight w:val="204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Реестр кладбищ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Реестр кладбищ и реестр хозяйствующих субъектов, имеющих право на оказание услуг по организации похорон, полностью сформированы.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342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3.6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объектов, не</w:t>
            </w: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3D211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C34CC6" w:rsidP="00F567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421087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приватизированы </w:t>
            </w:r>
            <w:r w:rsidR="00F567DC"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 объекта по адресу: </w:t>
            </w:r>
            <w:proofErr w:type="spellStart"/>
            <w:r w:rsidR="00F567DC"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ул.Ленинградская</w:t>
            </w:r>
            <w:proofErr w:type="spellEnd"/>
            <w:r w:rsidR="00F567DC"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д. 1</w:t>
            </w:r>
          </w:p>
        </w:tc>
      </w:tr>
    </w:tbl>
    <w:p w:rsidR="00F567DC" w:rsidRPr="003D2113" w:rsidRDefault="00F567DC" w:rsidP="00F567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Начальник отдела экономического развития </w:t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   </w:t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  </w:t>
      </w:r>
      <w:proofErr w:type="spellStart"/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Е.В.Севостьянов</w:t>
      </w:r>
      <w:proofErr w:type="spellEnd"/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2"/>
          <w:szCs w:val="20"/>
        </w:rPr>
      </w:pPr>
    </w:p>
    <w:p w:rsidR="001B781D" w:rsidRPr="003D2113" w:rsidRDefault="001B781D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1B781D" w:rsidRPr="003D2113" w:rsidSect="00E916FC">
      <w:headerReference w:type="default" r:id="rId12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6EF" w:rsidRDefault="000A46EF" w:rsidP="00E44EF5">
      <w:pPr>
        <w:spacing w:after="0" w:line="240" w:lineRule="auto"/>
      </w:pPr>
      <w:r>
        <w:separator/>
      </w:r>
    </w:p>
  </w:endnote>
  <w:endnote w:type="continuationSeparator" w:id="0">
    <w:p w:rsidR="000A46EF" w:rsidRDefault="000A46EF" w:rsidP="00E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6EF" w:rsidRDefault="000A46EF" w:rsidP="00E44EF5">
      <w:pPr>
        <w:spacing w:after="0" w:line="240" w:lineRule="auto"/>
      </w:pPr>
      <w:r>
        <w:separator/>
      </w:r>
    </w:p>
  </w:footnote>
  <w:footnote w:type="continuationSeparator" w:id="0">
    <w:p w:rsidR="000A46EF" w:rsidRDefault="000A46EF" w:rsidP="00E4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6EF" w:rsidRDefault="000A46EF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3175" t="0" r="0" b="317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6EF" w:rsidRPr="00DE05FD" w:rsidRDefault="000A46EF" w:rsidP="00E916F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6405207/887572(1)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92pt;margin-top:20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Fc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gBEnNYyo+7x+v/7U/ehu1x+6L91t9339sfvZfe2+oc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" filled="f" stroked="f">
              <v:textbox inset="0,0,0,0">
                <w:txbxContent>
                  <w:p w:rsidR="00F567DC" w:rsidRPr="00DE05FD" w:rsidRDefault="00F567DC" w:rsidP="00E916F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6405207/887572(1)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854"/>
    <w:multiLevelType w:val="hybridMultilevel"/>
    <w:tmpl w:val="E06E8FFC"/>
    <w:lvl w:ilvl="0" w:tplc="3878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B75977"/>
    <w:multiLevelType w:val="hybridMultilevel"/>
    <w:tmpl w:val="FB6ABFC8"/>
    <w:lvl w:ilvl="0" w:tplc="0B42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B1E58"/>
    <w:multiLevelType w:val="hybridMultilevel"/>
    <w:tmpl w:val="46E2E41E"/>
    <w:lvl w:ilvl="0" w:tplc="035A00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A2A"/>
    <w:multiLevelType w:val="hybridMultilevel"/>
    <w:tmpl w:val="929044EC"/>
    <w:lvl w:ilvl="0" w:tplc="7046B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B4F"/>
    <w:multiLevelType w:val="hybridMultilevel"/>
    <w:tmpl w:val="73060E38"/>
    <w:lvl w:ilvl="0" w:tplc="09E28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40E3"/>
    <w:multiLevelType w:val="hybridMultilevel"/>
    <w:tmpl w:val="00C49BE8"/>
    <w:lvl w:ilvl="0" w:tplc="A62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359E"/>
    <w:multiLevelType w:val="hybridMultilevel"/>
    <w:tmpl w:val="480EBF42"/>
    <w:lvl w:ilvl="0" w:tplc="4A32D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67"/>
    <w:rsid w:val="000001D9"/>
    <w:rsid w:val="000028E0"/>
    <w:rsid w:val="00007E5E"/>
    <w:rsid w:val="0001240A"/>
    <w:rsid w:val="00015CDA"/>
    <w:rsid w:val="00025B42"/>
    <w:rsid w:val="00025DEB"/>
    <w:rsid w:val="00027278"/>
    <w:rsid w:val="000352B1"/>
    <w:rsid w:val="00042F18"/>
    <w:rsid w:val="00046226"/>
    <w:rsid w:val="000528BA"/>
    <w:rsid w:val="000568B6"/>
    <w:rsid w:val="00057B22"/>
    <w:rsid w:val="000609DE"/>
    <w:rsid w:val="00066923"/>
    <w:rsid w:val="00067B7C"/>
    <w:rsid w:val="000714DA"/>
    <w:rsid w:val="00076764"/>
    <w:rsid w:val="000802B6"/>
    <w:rsid w:val="00080AC8"/>
    <w:rsid w:val="00084C43"/>
    <w:rsid w:val="000901E3"/>
    <w:rsid w:val="00090AEF"/>
    <w:rsid w:val="000916AF"/>
    <w:rsid w:val="00093C88"/>
    <w:rsid w:val="000940B5"/>
    <w:rsid w:val="00097204"/>
    <w:rsid w:val="000A46EF"/>
    <w:rsid w:val="000A7CAC"/>
    <w:rsid w:val="000B1397"/>
    <w:rsid w:val="000B1CF1"/>
    <w:rsid w:val="000B221D"/>
    <w:rsid w:val="000B36AB"/>
    <w:rsid w:val="000B4C81"/>
    <w:rsid w:val="000B5007"/>
    <w:rsid w:val="000B7650"/>
    <w:rsid w:val="000C1793"/>
    <w:rsid w:val="000C2FBC"/>
    <w:rsid w:val="000C3818"/>
    <w:rsid w:val="000C5344"/>
    <w:rsid w:val="000C7F13"/>
    <w:rsid w:val="000D0A69"/>
    <w:rsid w:val="000D4002"/>
    <w:rsid w:val="000D4FC6"/>
    <w:rsid w:val="000F0C83"/>
    <w:rsid w:val="000F2D74"/>
    <w:rsid w:val="000F4BA2"/>
    <w:rsid w:val="001120F5"/>
    <w:rsid w:val="00112988"/>
    <w:rsid w:val="00112F13"/>
    <w:rsid w:val="001134FC"/>
    <w:rsid w:val="0013615E"/>
    <w:rsid w:val="00137E30"/>
    <w:rsid w:val="00141283"/>
    <w:rsid w:val="0014377D"/>
    <w:rsid w:val="00145695"/>
    <w:rsid w:val="00151F61"/>
    <w:rsid w:val="00155E63"/>
    <w:rsid w:val="00156F65"/>
    <w:rsid w:val="0016237E"/>
    <w:rsid w:val="00164A4E"/>
    <w:rsid w:val="00165A04"/>
    <w:rsid w:val="00166511"/>
    <w:rsid w:val="00177999"/>
    <w:rsid w:val="00180552"/>
    <w:rsid w:val="001807FB"/>
    <w:rsid w:val="00183728"/>
    <w:rsid w:val="0018796B"/>
    <w:rsid w:val="00195EF6"/>
    <w:rsid w:val="00196362"/>
    <w:rsid w:val="001A04AA"/>
    <w:rsid w:val="001A29EF"/>
    <w:rsid w:val="001A4F0B"/>
    <w:rsid w:val="001B03F4"/>
    <w:rsid w:val="001B781D"/>
    <w:rsid w:val="001C1FDD"/>
    <w:rsid w:val="001C4499"/>
    <w:rsid w:val="001C4C74"/>
    <w:rsid w:val="001D37A3"/>
    <w:rsid w:val="001D53E5"/>
    <w:rsid w:val="001D6CE9"/>
    <w:rsid w:val="001E3E51"/>
    <w:rsid w:val="001F3228"/>
    <w:rsid w:val="001F3595"/>
    <w:rsid w:val="001F7E09"/>
    <w:rsid w:val="00200C8D"/>
    <w:rsid w:val="00203C7D"/>
    <w:rsid w:val="00210BD1"/>
    <w:rsid w:val="00211584"/>
    <w:rsid w:val="00212069"/>
    <w:rsid w:val="00214459"/>
    <w:rsid w:val="002173B9"/>
    <w:rsid w:val="00224092"/>
    <w:rsid w:val="00225100"/>
    <w:rsid w:val="002304C7"/>
    <w:rsid w:val="00234596"/>
    <w:rsid w:val="00234AFD"/>
    <w:rsid w:val="00242FD6"/>
    <w:rsid w:val="00243B69"/>
    <w:rsid w:val="0025324B"/>
    <w:rsid w:val="00253A64"/>
    <w:rsid w:val="002576C8"/>
    <w:rsid w:val="002656BF"/>
    <w:rsid w:val="00265FBE"/>
    <w:rsid w:val="00271498"/>
    <w:rsid w:val="00271C39"/>
    <w:rsid w:val="002735B9"/>
    <w:rsid w:val="002739DA"/>
    <w:rsid w:val="00281E79"/>
    <w:rsid w:val="00282289"/>
    <w:rsid w:val="0029369A"/>
    <w:rsid w:val="00293F45"/>
    <w:rsid w:val="002940EA"/>
    <w:rsid w:val="00294AAF"/>
    <w:rsid w:val="002A0D55"/>
    <w:rsid w:val="002A10FD"/>
    <w:rsid w:val="002A777E"/>
    <w:rsid w:val="002B1F96"/>
    <w:rsid w:val="002B22B4"/>
    <w:rsid w:val="002B3860"/>
    <w:rsid w:val="002C06A9"/>
    <w:rsid w:val="002C0908"/>
    <w:rsid w:val="002C66C1"/>
    <w:rsid w:val="002D0D39"/>
    <w:rsid w:val="002D5A23"/>
    <w:rsid w:val="002D730A"/>
    <w:rsid w:val="002E00D5"/>
    <w:rsid w:val="002E6F48"/>
    <w:rsid w:val="002E7D47"/>
    <w:rsid w:val="002F082D"/>
    <w:rsid w:val="002F2086"/>
    <w:rsid w:val="002F47A3"/>
    <w:rsid w:val="002F573E"/>
    <w:rsid w:val="003002C6"/>
    <w:rsid w:val="00301EE5"/>
    <w:rsid w:val="00302BDD"/>
    <w:rsid w:val="00302E20"/>
    <w:rsid w:val="003033B4"/>
    <w:rsid w:val="00304280"/>
    <w:rsid w:val="00314BF7"/>
    <w:rsid w:val="00315543"/>
    <w:rsid w:val="00315D34"/>
    <w:rsid w:val="00315D5A"/>
    <w:rsid w:val="00330425"/>
    <w:rsid w:val="00333029"/>
    <w:rsid w:val="0034509D"/>
    <w:rsid w:val="003505B5"/>
    <w:rsid w:val="00351A31"/>
    <w:rsid w:val="00352523"/>
    <w:rsid w:val="00355857"/>
    <w:rsid w:val="0036018F"/>
    <w:rsid w:val="003617DC"/>
    <w:rsid w:val="00364778"/>
    <w:rsid w:val="00367B4E"/>
    <w:rsid w:val="00372DD7"/>
    <w:rsid w:val="0037620A"/>
    <w:rsid w:val="003800C2"/>
    <w:rsid w:val="003851B0"/>
    <w:rsid w:val="00387BD8"/>
    <w:rsid w:val="003931FA"/>
    <w:rsid w:val="00394E90"/>
    <w:rsid w:val="00397219"/>
    <w:rsid w:val="003B049A"/>
    <w:rsid w:val="003B0AD7"/>
    <w:rsid w:val="003B346C"/>
    <w:rsid w:val="003B495E"/>
    <w:rsid w:val="003B6308"/>
    <w:rsid w:val="003B73C5"/>
    <w:rsid w:val="003B740A"/>
    <w:rsid w:val="003C2B85"/>
    <w:rsid w:val="003D2113"/>
    <w:rsid w:val="003D335D"/>
    <w:rsid w:val="003D4783"/>
    <w:rsid w:val="003D6284"/>
    <w:rsid w:val="003D631E"/>
    <w:rsid w:val="003E3D70"/>
    <w:rsid w:val="003E4D52"/>
    <w:rsid w:val="003F38F1"/>
    <w:rsid w:val="004011EA"/>
    <w:rsid w:val="0040190A"/>
    <w:rsid w:val="0040479B"/>
    <w:rsid w:val="004106B2"/>
    <w:rsid w:val="004134AF"/>
    <w:rsid w:val="00413A26"/>
    <w:rsid w:val="00415A42"/>
    <w:rsid w:val="004169E9"/>
    <w:rsid w:val="004201CF"/>
    <w:rsid w:val="00421087"/>
    <w:rsid w:val="004302B6"/>
    <w:rsid w:val="00430E50"/>
    <w:rsid w:val="004334E4"/>
    <w:rsid w:val="0043784D"/>
    <w:rsid w:val="00440B6B"/>
    <w:rsid w:val="004419C8"/>
    <w:rsid w:val="004434C6"/>
    <w:rsid w:val="00461B09"/>
    <w:rsid w:val="00472F2A"/>
    <w:rsid w:val="004745A3"/>
    <w:rsid w:val="00481B7B"/>
    <w:rsid w:val="004840BA"/>
    <w:rsid w:val="00492F0A"/>
    <w:rsid w:val="00495732"/>
    <w:rsid w:val="0049591D"/>
    <w:rsid w:val="004969F8"/>
    <w:rsid w:val="00496CF6"/>
    <w:rsid w:val="004A3460"/>
    <w:rsid w:val="004A464C"/>
    <w:rsid w:val="004A47F7"/>
    <w:rsid w:val="004A57A6"/>
    <w:rsid w:val="004B3FB4"/>
    <w:rsid w:val="004C113A"/>
    <w:rsid w:val="004C212B"/>
    <w:rsid w:val="004C327F"/>
    <w:rsid w:val="004C730C"/>
    <w:rsid w:val="004D035C"/>
    <w:rsid w:val="004D129F"/>
    <w:rsid w:val="004D15CD"/>
    <w:rsid w:val="004D4D44"/>
    <w:rsid w:val="004D6C6B"/>
    <w:rsid w:val="004D76FE"/>
    <w:rsid w:val="004E170A"/>
    <w:rsid w:val="004E2790"/>
    <w:rsid w:val="004E4388"/>
    <w:rsid w:val="004E6340"/>
    <w:rsid w:val="004F0F96"/>
    <w:rsid w:val="004F44BC"/>
    <w:rsid w:val="004F6C96"/>
    <w:rsid w:val="00501351"/>
    <w:rsid w:val="005065BF"/>
    <w:rsid w:val="005066FC"/>
    <w:rsid w:val="00511B08"/>
    <w:rsid w:val="00512109"/>
    <w:rsid w:val="0051388D"/>
    <w:rsid w:val="005145BF"/>
    <w:rsid w:val="00515923"/>
    <w:rsid w:val="00516DEF"/>
    <w:rsid w:val="00517834"/>
    <w:rsid w:val="00520880"/>
    <w:rsid w:val="00520D0C"/>
    <w:rsid w:val="0052469E"/>
    <w:rsid w:val="005267C4"/>
    <w:rsid w:val="00531943"/>
    <w:rsid w:val="0053217E"/>
    <w:rsid w:val="00532F3A"/>
    <w:rsid w:val="005365A9"/>
    <w:rsid w:val="00536FA0"/>
    <w:rsid w:val="00541841"/>
    <w:rsid w:val="00541DBC"/>
    <w:rsid w:val="00545632"/>
    <w:rsid w:val="0054619C"/>
    <w:rsid w:val="005476E4"/>
    <w:rsid w:val="00550850"/>
    <w:rsid w:val="0055138D"/>
    <w:rsid w:val="00553DD2"/>
    <w:rsid w:val="0055590A"/>
    <w:rsid w:val="0056156E"/>
    <w:rsid w:val="00566FC6"/>
    <w:rsid w:val="00573EF7"/>
    <w:rsid w:val="005769C8"/>
    <w:rsid w:val="00580A2A"/>
    <w:rsid w:val="00586833"/>
    <w:rsid w:val="00592B67"/>
    <w:rsid w:val="005A080B"/>
    <w:rsid w:val="005A328C"/>
    <w:rsid w:val="005A7D52"/>
    <w:rsid w:val="005B1F50"/>
    <w:rsid w:val="005B4DDE"/>
    <w:rsid w:val="005B5FC3"/>
    <w:rsid w:val="005B6671"/>
    <w:rsid w:val="005B7906"/>
    <w:rsid w:val="005C4BC3"/>
    <w:rsid w:val="005C55A0"/>
    <w:rsid w:val="005C57A4"/>
    <w:rsid w:val="005D599D"/>
    <w:rsid w:val="005D744C"/>
    <w:rsid w:val="005D79BD"/>
    <w:rsid w:val="005E1DBB"/>
    <w:rsid w:val="005E247B"/>
    <w:rsid w:val="005E3469"/>
    <w:rsid w:val="005E4147"/>
    <w:rsid w:val="005E79B9"/>
    <w:rsid w:val="005F13E6"/>
    <w:rsid w:val="005F2F3A"/>
    <w:rsid w:val="00600EA0"/>
    <w:rsid w:val="00601F30"/>
    <w:rsid w:val="0060483B"/>
    <w:rsid w:val="00615449"/>
    <w:rsid w:val="006175C3"/>
    <w:rsid w:val="00622E18"/>
    <w:rsid w:val="00626A4E"/>
    <w:rsid w:val="00627D95"/>
    <w:rsid w:val="006317E9"/>
    <w:rsid w:val="00632A43"/>
    <w:rsid w:val="00636A5B"/>
    <w:rsid w:val="00642EDA"/>
    <w:rsid w:val="00650B85"/>
    <w:rsid w:val="00653C20"/>
    <w:rsid w:val="00663A32"/>
    <w:rsid w:val="00667846"/>
    <w:rsid w:val="00667CA6"/>
    <w:rsid w:val="006700C7"/>
    <w:rsid w:val="006721EF"/>
    <w:rsid w:val="00673935"/>
    <w:rsid w:val="00683C41"/>
    <w:rsid w:val="00685B67"/>
    <w:rsid w:val="006875F6"/>
    <w:rsid w:val="00690547"/>
    <w:rsid w:val="00693A62"/>
    <w:rsid w:val="00697496"/>
    <w:rsid w:val="006A0A44"/>
    <w:rsid w:val="006A177A"/>
    <w:rsid w:val="006A2513"/>
    <w:rsid w:val="006A732D"/>
    <w:rsid w:val="006B2E42"/>
    <w:rsid w:val="006B6EFE"/>
    <w:rsid w:val="006C6FC4"/>
    <w:rsid w:val="006E290F"/>
    <w:rsid w:val="006E423A"/>
    <w:rsid w:val="006E52FD"/>
    <w:rsid w:val="006F18E7"/>
    <w:rsid w:val="006F22AB"/>
    <w:rsid w:val="006F39AC"/>
    <w:rsid w:val="006F4228"/>
    <w:rsid w:val="006F45FA"/>
    <w:rsid w:val="00704AC7"/>
    <w:rsid w:val="00706BC7"/>
    <w:rsid w:val="00706DDC"/>
    <w:rsid w:val="00706E05"/>
    <w:rsid w:val="00706F80"/>
    <w:rsid w:val="0071230F"/>
    <w:rsid w:val="00715F5C"/>
    <w:rsid w:val="00717C6B"/>
    <w:rsid w:val="00717EC9"/>
    <w:rsid w:val="00720432"/>
    <w:rsid w:val="007222BB"/>
    <w:rsid w:val="0072337E"/>
    <w:rsid w:val="00723871"/>
    <w:rsid w:val="0073184A"/>
    <w:rsid w:val="00734090"/>
    <w:rsid w:val="007368E7"/>
    <w:rsid w:val="007405FA"/>
    <w:rsid w:val="007406D0"/>
    <w:rsid w:val="007432AE"/>
    <w:rsid w:val="0075159E"/>
    <w:rsid w:val="00755F92"/>
    <w:rsid w:val="007572DB"/>
    <w:rsid w:val="007638F0"/>
    <w:rsid w:val="00770E83"/>
    <w:rsid w:val="00772697"/>
    <w:rsid w:val="00772D1B"/>
    <w:rsid w:val="00776881"/>
    <w:rsid w:val="0078197F"/>
    <w:rsid w:val="00791014"/>
    <w:rsid w:val="00792B6A"/>
    <w:rsid w:val="00792CBA"/>
    <w:rsid w:val="007941E8"/>
    <w:rsid w:val="00797E3C"/>
    <w:rsid w:val="007A2CB4"/>
    <w:rsid w:val="007A3522"/>
    <w:rsid w:val="007A7628"/>
    <w:rsid w:val="007B56D4"/>
    <w:rsid w:val="007B654E"/>
    <w:rsid w:val="007C0924"/>
    <w:rsid w:val="007D0F98"/>
    <w:rsid w:val="007D270A"/>
    <w:rsid w:val="007D5A59"/>
    <w:rsid w:val="007D7304"/>
    <w:rsid w:val="007D753D"/>
    <w:rsid w:val="007E0C59"/>
    <w:rsid w:val="007E2AE5"/>
    <w:rsid w:val="007F06D9"/>
    <w:rsid w:val="007F223D"/>
    <w:rsid w:val="007F258E"/>
    <w:rsid w:val="007F2EE8"/>
    <w:rsid w:val="00802276"/>
    <w:rsid w:val="00803344"/>
    <w:rsid w:val="00804C62"/>
    <w:rsid w:val="00807D4E"/>
    <w:rsid w:val="00813198"/>
    <w:rsid w:val="0081387F"/>
    <w:rsid w:val="008171DE"/>
    <w:rsid w:val="00820B38"/>
    <w:rsid w:val="00821792"/>
    <w:rsid w:val="00822970"/>
    <w:rsid w:val="008242D9"/>
    <w:rsid w:val="00824E96"/>
    <w:rsid w:val="008273D9"/>
    <w:rsid w:val="00830271"/>
    <w:rsid w:val="00831639"/>
    <w:rsid w:val="0083354B"/>
    <w:rsid w:val="00835AD4"/>
    <w:rsid w:val="0084231B"/>
    <w:rsid w:val="00854B3A"/>
    <w:rsid w:val="00854F2A"/>
    <w:rsid w:val="008622F5"/>
    <w:rsid w:val="00871BA8"/>
    <w:rsid w:val="0088215E"/>
    <w:rsid w:val="008901BD"/>
    <w:rsid w:val="00894E33"/>
    <w:rsid w:val="008977AF"/>
    <w:rsid w:val="008A03BB"/>
    <w:rsid w:val="008A1CA8"/>
    <w:rsid w:val="008A2E42"/>
    <w:rsid w:val="008A2FC5"/>
    <w:rsid w:val="008A39D5"/>
    <w:rsid w:val="008A41E6"/>
    <w:rsid w:val="008A6BF2"/>
    <w:rsid w:val="008B6A82"/>
    <w:rsid w:val="008B6CC8"/>
    <w:rsid w:val="008C308A"/>
    <w:rsid w:val="008D2E5B"/>
    <w:rsid w:val="008D5D54"/>
    <w:rsid w:val="008E12C9"/>
    <w:rsid w:val="008E2C68"/>
    <w:rsid w:val="008E6844"/>
    <w:rsid w:val="008F103D"/>
    <w:rsid w:val="008F2A60"/>
    <w:rsid w:val="008F41D2"/>
    <w:rsid w:val="008F5389"/>
    <w:rsid w:val="00901461"/>
    <w:rsid w:val="00910119"/>
    <w:rsid w:val="009129CA"/>
    <w:rsid w:val="00917B36"/>
    <w:rsid w:val="009201D9"/>
    <w:rsid w:val="0092055F"/>
    <w:rsid w:val="00920DB3"/>
    <w:rsid w:val="009234F8"/>
    <w:rsid w:val="00926279"/>
    <w:rsid w:val="00926BF6"/>
    <w:rsid w:val="00930453"/>
    <w:rsid w:val="0093059C"/>
    <w:rsid w:val="00936D98"/>
    <w:rsid w:val="009421CE"/>
    <w:rsid w:val="00942B46"/>
    <w:rsid w:val="00945FEF"/>
    <w:rsid w:val="00946AC6"/>
    <w:rsid w:val="0095076A"/>
    <w:rsid w:val="00955D1B"/>
    <w:rsid w:val="00956DE5"/>
    <w:rsid w:val="009578C8"/>
    <w:rsid w:val="00964B4D"/>
    <w:rsid w:val="00972061"/>
    <w:rsid w:val="009750F7"/>
    <w:rsid w:val="00976BD9"/>
    <w:rsid w:val="00976FCE"/>
    <w:rsid w:val="00981AF3"/>
    <w:rsid w:val="009854A3"/>
    <w:rsid w:val="00985C04"/>
    <w:rsid w:val="00992B45"/>
    <w:rsid w:val="0099320E"/>
    <w:rsid w:val="00994D79"/>
    <w:rsid w:val="00995FC1"/>
    <w:rsid w:val="009A20BC"/>
    <w:rsid w:val="009B0B41"/>
    <w:rsid w:val="009B1F09"/>
    <w:rsid w:val="009B2FE0"/>
    <w:rsid w:val="009C2ECF"/>
    <w:rsid w:val="009C3B90"/>
    <w:rsid w:val="009C565D"/>
    <w:rsid w:val="009D15DD"/>
    <w:rsid w:val="009D1605"/>
    <w:rsid w:val="009D5167"/>
    <w:rsid w:val="009E0ACE"/>
    <w:rsid w:val="009E3160"/>
    <w:rsid w:val="009E4B4B"/>
    <w:rsid w:val="009F0FF5"/>
    <w:rsid w:val="009F5148"/>
    <w:rsid w:val="009F54B4"/>
    <w:rsid w:val="009F6C09"/>
    <w:rsid w:val="00A008BD"/>
    <w:rsid w:val="00A0244A"/>
    <w:rsid w:val="00A053D6"/>
    <w:rsid w:val="00A107B8"/>
    <w:rsid w:val="00A1105F"/>
    <w:rsid w:val="00A13666"/>
    <w:rsid w:val="00A150AE"/>
    <w:rsid w:val="00A16ACA"/>
    <w:rsid w:val="00A35591"/>
    <w:rsid w:val="00A36957"/>
    <w:rsid w:val="00A424B8"/>
    <w:rsid w:val="00A45D5E"/>
    <w:rsid w:val="00A45DEC"/>
    <w:rsid w:val="00A52AAD"/>
    <w:rsid w:val="00A533FB"/>
    <w:rsid w:val="00A54BE7"/>
    <w:rsid w:val="00A61A0F"/>
    <w:rsid w:val="00A642E9"/>
    <w:rsid w:val="00A70307"/>
    <w:rsid w:val="00A739EF"/>
    <w:rsid w:val="00A74903"/>
    <w:rsid w:val="00A75CF4"/>
    <w:rsid w:val="00A8121A"/>
    <w:rsid w:val="00A86647"/>
    <w:rsid w:val="00A93074"/>
    <w:rsid w:val="00A942B9"/>
    <w:rsid w:val="00A96E25"/>
    <w:rsid w:val="00AA3BF2"/>
    <w:rsid w:val="00AB0A36"/>
    <w:rsid w:val="00AC18C7"/>
    <w:rsid w:val="00AC222D"/>
    <w:rsid w:val="00AC47FA"/>
    <w:rsid w:val="00AC5C41"/>
    <w:rsid w:val="00AC5F07"/>
    <w:rsid w:val="00AC7F55"/>
    <w:rsid w:val="00AD077F"/>
    <w:rsid w:val="00AD2802"/>
    <w:rsid w:val="00AD4282"/>
    <w:rsid w:val="00AD5569"/>
    <w:rsid w:val="00AD5BBF"/>
    <w:rsid w:val="00AE06B4"/>
    <w:rsid w:val="00AE13BE"/>
    <w:rsid w:val="00AE1B4A"/>
    <w:rsid w:val="00AE79F5"/>
    <w:rsid w:val="00AF20E0"/>
    <w:rsid w:val="00AF38A2"/>
    <w:rsid w:val="00B0007B"/>
    <w:rsid w:val="00B00EA3"/>
    <w:rsid w:val="00B047FB"/>
    <w:rsid w:val="00B049D7"/>
    <w:rsid w:val="00B0686C"/>
    <w:rsid w:val="00B06929"/>
    <w:rsid w:val="00B129EB"/>
    <w:rsid w:val="00B12AAC"/>
    <w:rsid w:val="00B16ADB"/>
    <w:rsid w:val="00B2137D"/>
    <w:rsid w:val="00B219C6"/>
    <w:rsid w:val="00B23889"/>
    <w:rsid w:val="00B271E5"/>
    <w:rsid w:val="00B31079"/>
    <w:rsid w:val="00B33DC7"/>
    <w:rsid w:val="00B349E0"/>
    <w:rsid w:val="00B35152"/>
    <w:rsid w:val="00B36A67"/>
    <w:rsid w:val="00B37AD9"/>
    <w:rsid w:val="00B41699"/>
    <w:rsid w:val="00B42ACA"/>
    <w:rsid w:val="00B5130F"/>
    <w:rsid w:val="00B53BA5"/>
    <w:rsid w:val="00B6186D"/>
    <w:rsid w:val="00B619A9"/>
    <w:rsid w:val="00B6372E"/>
    <w:rsid w:val="00B64D9F"/>
    <w:rsid w:val="00B776F7"/>
    <w:rsid w:val="00B80E3D"/>
    <w:rsid w:val="00B818E6"/>
    <w:rsid w:val="00B90469"/>
    <w:rsid w:val="00B95149"/>
    <w:rsid w:val="00B96E0F"/>
    <w:rsid w:val="00BA55BB"/>
    <w:rsid w:val="00BB2069"/>
    <w:rsid w:val="00BB240B"/>
    <w:rsid w:val="00BB2414"/>
    <w:rsid w:val="00BB5146"/>
    <w:rsid w:val="00BC2842"/>
    <w:rsid w:val="00BD0372"/>
    <w:rsid w:val="00BD1EB1"/>
    <w:rsid w:val="00BD4FCC"/>
    <w:rsid w:val="00BD66DE"/>
    <w:rsid w:val="00BE1047"/>
    <w:rsid w:val="00BE69BE"/>
    <w:rsid w:val="00BF0BB7"/>
    <w:rsid w:val="00C006C9"/>
    <w:rsid w:val="00C022BA"/>
    <w:rsid w:val="00C027A7"/>
    <w:rsid w:val="00C041FA"/>
    <w:rsid w:val="00C046F0"/>
    <w:rsid w:val="00C04D51"/>
    <w:rsid w:val="00C05337"/>
    <w:rsid w:val="00C061C2"/>
    <w:rsid w:val="00C07FCB"/>
    <w:rsid w:val="00C10159"/>
    <w:rsid w:val="00C11A8C"/>
    <w:rsid w:val="00C11E49"/>
    <w:rsid w:val="00C20B3B"/>
    <w:rsid w:val="00C220AF"/>
    <w:rsid w:val="00C225F8"/>
    <w:rsid w:val="00C238E8"/>
    <w:rsid w:val="00C252E6"/>
    <w:rsid w:val="00C3403D"/>
    <w:rsid w:val="00C34125"/>
    <w:rsid w:val="00C3486D"/>
    <w:rsid w:val="00C34891"/>
    <w:rsid w:val="00C34CC6"/>
    <w:rsid w:val="00C36675"/>
    <w:rsid w:val="00C367B2"/>
    <w:rsid w:val="00C51264"/>
    <w:rsid w:val="00C572EB"/>
    <w:rsid w:val="00C62FEC"/>
    <w:rsid w:val="00C63B40"/>
    <w:rsid w:val="00C72C19"/>
    <w:rsid w:val="00C81133"/>
    <w:rsid w:val="00C81B96"/>
    <w:rsid w:val="00C83743"/>
    <w:rsid w:val="00C86F5E"/>
    <w:rsid w:val="00C918DE"/>
    <w:rsid w:val="00C94547"/>
    <w:rsid w:val="00C97A4C"/>
    <w:rsid w:val="00CC21D8"/>
    <w:rsid w:val="00CC5ABA"/>
    <w:rsid w:val="00CC7F82"/>
    <w:rsid w:val="00CD08F0"/>
    <w:rsid w:val="00CD2014"/>
    <w:rsid w:val="00CD2442"/>
    <w:rsid w:val="00CD3D31"/>
    <w:rsid w:val="00CD4694"/>
    <w:rsid w:val="00CE0148"/>
    <w:rsid w:val="00CE2CC6"/>
    <w:rsid w:val="00CE3754"/>
    <w:rsid w:val="00CF35C7"/>
    <w:rsid w:val="00CF6768"/>
    <w:rsid w:val="00D00E39"/>
    <w:rsid w:val="00D03FF6"/>
    <w:rsid w:val="00D06807"/>
    <w:rsid w:val="00D07263"/>
    <w:rsid w:val="00D15D74"/>
    <w:rsid w:val="00D15FF8"/>
    <w:rsid w:val="00D2181E"/>
    <w:rsid w:val="00D31D55"/>
    <w:rsid w:val="00D41899"/>
    <w:rsid w:val="00D42CA0"/>
    <w:rsid w:val="00D43BDC"/>
    <w:rsid w:val="00D47844"/>
    <w:rsid w:val="00D51056"/>
    <w:rsid w:val="00D52FEE"/>
    <w:rsid w:val="00D562E1"/>
    <w:rsid w:val="00D61D54"/>
    <w:rsid w:val="00D62E38"/>
    <w:rsid w:val="00D6470E"/>
    <w:rsid w:val="00D64B21"/>
    <w:rsid w:val="00D661E6"/>
    <w:rsid w:val="00D6785A"/>
    <w:rsid w:val="00D71C87"/>
    <w:rsid w:val="00D7639C"/>
    <w:rsid w:val="00D83C1A"/>
    <w:rsid w:val="00D8423F"/>
    <w:rsid w:val="00D85114"/>
    <w:rsid w:val="00D8544C"/>
    <w:rsid w:val="00D85A27"/>
    <w:rsid w:val="00D914EC"/>
    <w:rsid w:val="00D92BCB"/>
    <w:rsid w:val="00D93F64"/>
    <w:rsid w:val="00D96BE2"/>
    <w:rsid w:val="00D9739E"/>
    <w:rsid w:val="00DA7640"/>
    <w:rsid w:val="00DB2EF6"/>
    <w:rsid w:val="00DB30C1"/>
    <w:rsid w:val="00DB3F7B"/>
    <w:rsid w:val="00DB56D8"/>
    <w:rsid w:val="00DC0AC4"/>
    <w:rsid w:val="00DC15F8"/>
    <w:rsid w:val="00DC32A4"/>
    <w:rsid w:val="00DC7276"/>
    <w:rsid w:val="00DD1F2C"/>
    <w:rsid w:val="00DD2F63"/>
    <w:rsid w:val="00DD7A9D"/>
    <w:rsid w:val="00DE3564"/>
    <w:rsid w:val="00DE4E53"/>
    <w:rsid w:val="00DE4FED"/>
    <w:rsid w:val="00DE5A44"/>
    <w:rsid w:val="00DE6D63"/>
    <w:rsid w:val="00DF20F6"/>
    <w:rsid w:val="00DF502D"/>
    <w:rsid w:val="00E05765"/>
    <w:rsid w:val="00E06A51"/>
    <w:rsid w:val="00E15331"/>
    <w:rsid w:val="00E2236C"/>
    <w:rsid w:val="00E24098"/>
    <w:rsid w:val="00E26CBA"/>
    <w:rsid w:val="00E27036"/>
    <w:rsid w:val="00E2733B"/>
    <w:rsid w:val="00E32C89"/>
    <w:rsid w:val="00E41486"/>
    <w:rsid w:val="00E43DFF"/>
    <w:rsid w:val="00E44EF5"/>
    <w:rsid w:val="00E451D4"/>
    <w:rsid w:val="00E46DEF"/>
    <w:rsid w:val="00E55210"/>
    <w:rsid w:val="00E56D2D"/>
    <w:rsid w:val="00E61EC2"/>
    <w:rsid w:val="00E623A0"/>
    <w:rsid w:val="00E635D9"/>
    <w:rsid w:val="00E65433"/>
    <w:rsid w:val="00E75786"/>
    <w:rsid w:val="00E76EED"/>
    <w:rsid w:val="00E77AD8"/>
    <w:rsid w:val="00E85926"/>
    <w:rsid w:val="00E87AE3"/>
    <w:rsid w:val="00E916FC"/>
    <w:rsid w:val="00E945FC"/>
    <w:rsid w:val="00E97976"/>
    <w:rsid w:val="00EA71D3"/>
    <w:rsid w:val="00EA76C7"/>
    <w:rsid w:val="00EB4F20"/>
    <w:rsid w:val="00EB6168"/>
    <w:rsid w:val="00EC07B1"/>
    <w:rsid w:val="00ED0277"/>
    <w:rsid w:val="00ED090A"/>
    <w:rsid w:val="00ED42F4"/>
    <w:rsid w:val="00EF0BE1"/>
    <w:rsid w:val="00EF4FFD"/>
    <w:rsid w:val="00EF6CDF"/>
    <w:rsid w:val="00EF6D20"/>
    <w:rsid w:val="00F024F2"/>
    <w:rsid w:val="00F02DB8"/>
    <w:rsid w:val="00F0391B"/>
    <w:rsid w:val="00F0481F"/>
    <w:rsid w:val="00F12B56"/>
    <w:rsid w:val="00F1597D"/>
    <w:rsid w:val="00F15F02"/>
    <w:rsid w:val="00F23305"/>
    <w:rsid w:val="00F32B6A"/>
    <w:rsid w:val="00F379D3"/>
    <w:rsid w:val="00F47F8D"/>
    <w:rsid w:val="00F50BFB"/>
    <w:rsid w:val="00F5110C"/>
    <w:rsid w:val="00F5110E"/>
    <w:rsid w:val="00F5375C"/>
    <w:rsid w:val="00F53954"/>
    <w:rsid w:val="00F548A1"/>
    <w:rsid w:val="00F54A5F"/>
    <w:rsid w:val="00F567DC"/>
    <w:rsid w:val="00F56A34"/>
    <w:rsid w:val="00F57F5A"/>
    <w:rsid w:val="00F60251"/>
    <w:rsid w:val="00F62136"/>
    <w:rsid w:val="00F64270"/>
    <w:rsid w:val="00F64FBC"/>
    <w:rsid w:val="00F65C93"/>
    <w:rsid w:val="00F6771A"/>
    <w:rsid w:val="00F70E68"/>
    <w:rsid w:val="00F74EF4"/>
    <w:rsid w:val="00F75686"/>
    <w:rsid w:val="00F7596B"/>
    <w:rsid w:val="00F75FD1"/>
    <w:rsid w:val="00F7615E"/>
    <w:rsid w:val="00F77329"/>
    <w:rsid w:val="00F83C02"/>
    <w:rsid w:val="00F85118"/>
    <w:rsid w:val="00F85171"/>
    <w:rsid w:val="00F902CD"/>
    <w:rsid w:val="00F905C4"/>
    <w:rsid w:val="00F90BF7"/>
    <w:rsid w:val="00F957AF"/>
    <w:rsid w:val="00FB2ECD"/>
    <w:rsid w:val="00FC45E8"/>
    <w:rsid w:val="00FC7258"/>
    <w:rsid w:val="00FD05C3"/>
    <w:rsid w:val="00FD1939"/>
    <w:rsid w:val="00FD1CC8"/>
    <w:rsid w:val="00FD3D5F"/>
    <w:rsid w:val="00FD4AE5"/>
    <w:rsid w:val="00FD4D71"/>
    <w:rsid w:val="00FE352D"/>
    <w:rsid w:val="00FE3F13"/>
    <w:rsid w:val="00FE5A23"/>
    <w:rsid w:val="00FF0033"/>
    <w:rsid w:val="00FF0496"/>
    <w:rsid w:val="00FF1FCF"/>
    <w:rsid w:val="00FF33E7"/>
    <w:rsid w:val="00FF62D9"/>
    <w:rsid w:val="00FF67AB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A495B8"/>
  <w15:docId w15:val="{9E0190B8-5B06-4C70-ADEB-B2B6691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5B"/>
  </w:style>
  <w:style w:type="paragraph" w:styleId="2">
    <w:name w:val="heading 2"/>
    <w:basedOn w:val="a"/>
    <w:next w:val="a"/>
    <w:link w:val="20"/>
    <w:qFormat/>
    <w:rsid w:val="004A47F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Интервал 0 pt"/>
    <w:basedOn w:val="a0"/>
    <w:rsid w:val="00824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41"/>
    <w:rsid w:val="008242D9"/>
    <w:rPr>
      <w:b/>
      <w:bCs/>
      <w:spacing w:val="5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8242D9"/>
    <w:rPr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3"/>
    <w:rsid w:val="008242D9"/>
    <w:pPr>
      <w:widowControl w:val="0"/>
      <w:shd w:val="clear" w:color="auto" w:fill="FFFFFF"/>
      <w:spacing w:after="300" w:line="322" w:lineRule="exact"/>
      <w:ind w:hanging="560"/>
    </w:pPr>
    <w:rPr>
      <w:b/>
      <w:bCs/>
      <w:spacing w:val="5"/>
      <w:sz w:val="23"/>
      <w:szCs w:val="23"/>
    </w:rPr>
  </w:style>
  <w:style w:type="character" w:customStyle="1" w:styleId="10pt">
    <w:name w:val="Основной текст + 10 pt"/>
    <w:aliases w:val="Интервал 0 pt,Основной текст + Arial Narrow,9 pt"/>
    <w:basedOn w:val="a0"/>
    <w:rsid w:val="008242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82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242D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20B38"/>
    <w:rPr>
      <w:color w:val="0000FF"/>
      <w:u w:val="single"/>
    </w:rPr>
  </w:style>
  <w:style w:type="character" w:customStyle="1" w:styleId="ArialNarrow9pt0pt">
    <w:name w:val="Основной текст + Arial Narrow;9 pt;Интервал 0 pt"/>
    <w:basedOn w:val="a3"/>
    <w:rsid w:val="00820B3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0">
    <w:name w:val="Основной текст + 9;5 pt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415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8F5389"/>
    <w:pPr>
      <w:ind w:left="720"/>
      <w:contextualSpacing/>
    </w:pPr>
  </w:style>
  <w:style w:type="paragraph" w:customStyle="1" w:styleId="Default">
    <w:name w:val="Default"/>
    <w:rsid w:val="00516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A47F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99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aa">
    <w:name w:val="No Spacing"/>
    <w:link w:val="ab"/>
    <w:qFormat/>
    <w:rsid w:val="00A96E2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A96E25"/>
  </w:style>
  <w:style w:type="table" w:styleId="ac">
    <w:name w:val="Table Grid"/>
    <w:basedOn w:val="a1"/>
    <w:uiPriority w:val="59"/>
    <w:rsid w:val="003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3B049A"/>
  </w:style>
  <w:style w:type="character" w:customStyle="1" w:styleId="company-infotext">
    <w:name w:val="company-info__text"/>
    <w:basedOn w:val="a0"/>
    <w:rsid w:val="003B049A"/>
  </w:style>
  <w:style w:type="character" w:customStyle="1" w:styleId="ad">
    <w:name w:val="Другое_"/>
    <w:basedOn w:val="a0"/>
    <w:link w:val="ae"/>
    <w:rsid w:val="009421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9421C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F1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anictextcontentspan">
    <w:name w:val="organictextcontentspan"/>
    <w:basedOn w:val="a0"/>
    <w:rsid w:val="00DC0AC4"/>
  </w:style>
  <w:style w:type="paragraph" w:styleId="af">
    <w:name w:val="footnote text"/>
    <w:basedOn w:val="a"/>
    <w:link w:val="af0"/>
    <w:uiPriority w:val="99"/>
    <w:semiHidden/>
    <w:unhideWhenUsed/>
    <w:rsid w:val="00E44E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4EF5"/>
    <w:rPr>
      <w:sz w:val="20"/>
      <w:szCs w:val="20"/>
    </w:rPr>
  </w:style>
  <w:style w:type="character" w:styleId="af1">
    <w:name w:val="footnote reference"/>
    <w:uiPriority w:val="99"/>
    <w:rsid w:val="00E44EF5"/>
    <w:rPr>
      <w:vertAlign w:val="superscript"/>
    </w:rPr>
  </w:style>
  <w:style w:type="character" w:customStyle="1" w:styleId="es-el-code-term">
    <w:name w:val="es-el-code-term"/>
    <w:rsid w:val="00A86647"/>
  </w:style>
  <w:style w:type="paragraph" w:styleId="af2">
    <w:name w:val="header"/>
    <w:basedOn w:val="a"/>
    <w:link w:val="af3"/>
    <w:uiPriority w:val="99"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56D4"/>
  </w:style>
  <w:style w:type="paragraph" w:styleId="af4">
    <w:name w:val="footer"/>
    <w:basedOn w:val="a"/>
    <w:link w:val="af5"/>
    <w:uiPriority w:val="99"/>
    <w:semiHidden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B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codes/143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B3A11107FCE11D5CC9E5E6A47D4302EF99401848B2185CDB861E0165EC04BEF50125D110A984F25777B9BFF1JDw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20F10-66C1-4C79-9AAF-4001B95F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18</Pages>
  <Words>6155</Words>
  <Characters>35084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  </cp:lastModifiedBy>
  <cp:revision>6</cp:revision>
  <cp:lastPrinted>2026-04-21T11:15:00Z</cp:lastPrinted>
  <dcterms:created xsi:type="dcterms:W3CDTF">2026-04-21T08:31:00Z</dcterms:created>
  <dcterms:modified xsi:type="dcterms:W3CDTF">2026-04-22T11:22:00Z</dcterms:modified>
</cp:coreProperties>
</file>