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A77C8C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7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A77C8C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18B9EF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TO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BhgUzi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</w:t>
      </w:r>
      <w:r w:rsidR="001C186C">
        <w:rPr>
          <w:sz w:val="24"/>
        </w:rPr>
        <w:t xml:space="preserve">     </w:t>
      </w:r>
      <w:r>
        <w:rPr>
          <w:sz w:val="24"/>
        </w:rPr>
        <w:t xml:space="preserve">        </w:t>
      </w:r>
      <w:r w:rsidR="00762166">
        <w:rPr>
          <w:sz w:val="24"/>
        </w:rPr>
        <w:t xml:space="preserve">от </w:t>
      </w:r>
      <w:r w:rsidR="001C186C">
        <w:rPr>
          <w:sz w:val="24"/>
        </w:rPr>
        <w:t>28/10/2026 № 3250</w:t>
      </w: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  <w:bookmarkStart w:id="0" w:name="Приложение1"/>
    </w:p>
    <w:p w:rsidR="00D81973" w:rsidRPr="00D81973" w:rsidRDefault="00D81973" w:rsidP="00D81973">
      <w:pPr>
        <w:shd w:val="clear" w:color="auto" w:fill="FFFFFF"/>
        <w:ind w:right="4535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О среднесрочном прогнозе социально - экономического развития Сосновоборского городского округа на 2027-2029 годы </w:t>
      </w: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8"/>
        <w:jc w:val="both"/>
        <w:rPr>
          <w:b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 соответствии с Бюджетным кодексом Российской Федерации, Федеральным законом от 28.06.2014 № 172-ФЗ «О стратегическом планировании в Российской Федерации», решением совета депутатов Сосновоборского городского округа от 28.10.2015 № 154 «Об утверждении Положения о стратегическом планировании в муниципальном образовании Сосновоборский городской округ Ленинградской области», администрация Сосновоборского городского округа </w:t>
      </w:r>
      <w:r w:rsidRPr="00D81973">
        <w:rPr>
          <w:b/>
          <w:color w:val="000000"/>
          <w:sz w:val="24"/>
          <w:szCs w:val="24"/>
        </w:rPr>
        <w:t>п о с т а н о в л я е т: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1. Одобрить среднесрочный прогноз социально-экономического развития Сосновоборского городского округа на 2027-2029 годы (Приложение).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2. Отделу по связям с общественностью (пресс-центр) администрации разместить настоящее постановление на официальном сайте Сосновоборского городского округа.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3. Настоящее постановление вступает в силу со дня подписания.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4. Контроль за исполнением настоящего постановления </w:t>
      </w:r>
      <w:r>
        <w:rPr>
          <w:color w:val="000000"/>
          <w:sz w:val="24"/>
          <w:szCs w:val="24"/>
        </w:rPr>
        <w:t>оставляю за собой</w:t>
      </w:r>
      <w:r w:rsidRPr="00D81973">
        <w:rPr>
          <w:color w:val="000000"/>
          <w:sz w:val="24"/>
          <w:szCs w:val="24"/>
        </w:rPr>
        <w:t>.</w:t>
      </w: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D81973" w:rsidRPr="00D81973" w:rsidRDefault="00D81973" w:rsidP="00D81973">
      <w:pPr>
        <w:spacing w:after="160" w:line="259" w:lineRule="auto"/>
        <w:ind w:right="-284"/>
        <w:rPr>
          <w:rFonts w:eastAsia="Calibri"/>
          <w:color w:val="000000"/>
          <w:sz w:val="23"/>
          <w:szCs w:val="23"/>
          <w:lang w:eastAsia="en-US"/>
        </w:rPr>
      </w:pPr>
      <w:r w:rsidRPr="00D81973">
        <w:rPr>
          <w:rFonts w:eastAsia="Calibri"/>
          <w:color w:val="000000"/>
          <w:sz w:val="23"/>
          <w:szCs w:val="23"/>
          <w:lang w:eastAsia="en-US"/>
        </w:rPr>
        <w:t>Сосновоборского городского округа                                                                                 С.Г. Лютиков</w:t>
      </w: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12"/>
          <w:szCs w:val="12"/>
        </w:rPr>
      </w:pPr>
      <w:r w:rsidRPr="00D81973">
        <w:rPr>
          <w:color w:val="000000"/>
          <w:sz w:val="12"/>
          <w:szCs w:val="12"/>
        </w:rPr>
        <w:t xml:space="preserve">Исп. Мандрукина Кристина Рустамовна 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12"/>
          <w:szCs w:val="12"/>
        </w:rPr>
      </w:pPr>
      <w:r w:rsidRPr="00D81973">
        <w:rPr>
          <w:color w:val="000000"/>
          <w:sz w:val="12"/>
          <w:szCs w:val="12"/>
        </w:rPr>
        <w:t xml:space="preserve">т. 6-28-35 </w:t>
      </w:r>
      <w:r>
        <w:rPr>
          <w:color w:val="000000"/>
          <w:sz w:val="12"/>
          <w:szCs w:val="12"/>
        </w:rPr>
        <w:t>БГ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12"/>
          <w:szCs w:val="12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12"/>
          <w:szCs w:val="12"/>
        </w:rPr>
      </w:pPr>
    </w:p>
    <w:bookmarkEnd w:id="0"/>
    <w:p w:rsidR="00D81973" w:rsidRPr="00D81973" w:rsidRDefault="00D81973" w:rsidP="00D81973">
      <w:pPr>
        <w:pageBreakBefore/>
        <w:shd w:val="clear" w:color="auto" w:fill="FFFFFF"/>
        <w:ind w:firstLine="708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>ОДОБРЕН</w:t>
      </w:r>
    </w:p>
    <w:p w:rsidR="00D81973" w:rsidRPr="00D81973" w:rsidRDefault="00D81973" w:rsidP="00D81973">
      <w:pPr>
        <w:shd w:val="clear" w:color="auto" w:fill="FFFFFF"/>
        <w:ind w:firstLine="708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постановлением администрации</w:t>
      </w:r>
    </w:p>
    <w:p w:rsidR="00D81973" w:rsidRPr="00D81973" w:rsidRDefault="00D81973" w:rsidP="00D81973">
      <w:pPr>
        <w:shd w:val="clear" w:color="auto" w:fill="FFFFFF"/>
        <w:ind w:firstLine="708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Сосновоборского городского округа</w:t>
      </w:r>
    </w:p>
    <w:p w:rsidR="00D81973" w:rsidRPr="00D81973" w:rsidRDefault="00D81973" w:rsidP="00D81973">
      <w:pPr>
        <w:shd w:val="clear" w:color="auto" w:fill="FFFFFF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от </w:t>
      </w:r>
      <w:r w:rsidR="001C186C">
        <w:rPr>
          <w:color w:val="000000"/>
          <w:sz w:val="24"/>
          <w:szCs w:val="24"/>
        </w:rPr>
        <w:t>28/10/2026 № 3250</w:t>
      </w:r>
    </w:p>
    <w:p w:rsidR="00D81973" w:rsidRPr="00D81973" w:rsidRDefault="00D81973" w:rsidP="00D81973">
      <w:pPr>
        <w:shd w:val="clear" w:color="auto" w:fill="FFFFFF"/>
        <w:ind w:firstLine="720"/>
        <w:jc w:val="right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(Приложение)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Прогноз</w:t>
      </w: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социально-экономического развития</w:t>
      </w: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Сосновоборского городского округа</w:t>
      </w: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  <w:r w:rsidRPr="00D81973">
        <w:rPr>
          <w:rFonts w:ascii="Times New Roman" w:hAnsi="Times New Roman" w:cs="Times New Roman"/>
          <w:b/>
          <w:color w:val="000000"/>
        </w:rPr>
        <w:t>на 2027-2029 годы</w:t>
      </w: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7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000000"/>
        </w:rPr>
      </w:pPr>
      <w:r w:rsidRPr="00D81973">
        <w:rPr>
          <w:rFonts w:ascii="Times New Roman" w:hAnsi="Times New Roman" w:cs="Times New Roman"/>
          <w:b/>
          <w:color w:val="000000"/>
        </w:rPr>
        <w:t>2026</w:t>
      </w:r>
    </w:p>
    <w:p w:rsidR="00D81973" w:rsidRPr="00D81973" w:rsidRDefault="00D81973" w:rsidP="00D81973">
      <w:pPr>
        <w:pStyle w:val="a9"/>
        <w:pageBreakBefore/>
        <w:shd w:val="clear" w:color="auto" w:fill="FFFFFF"/>
        <w:jc w:val="center"/>
        <w:rPr>
          <w:b/>
          <w:caps/>
          <w:color w:val="000000"/>
          <w:szCs w:val="24"/>
        </w:rPr>
      </w:pPr>
      <w:r w:rsidRPr="00D81973">
        <w:rPr>
          <w:b/>
          <w:caps/>
          <w:color w:val="000000"/>
          <w:szCs w:val="24"/>
        </w:rPr>
        <w:lastRenderedPageBreak/>
        <w:t>СОДЕРЖАние</w:t>
      </w:r>
    </w:p>
    <w:p w:rsidR="00D81973" w:rsidRPr="00D81973" w:rsidRDefault="00D31B30" w:rsidP="00D81973">
      <w:pPr>
        <w:pStyle w:val="33"/>
        <w:rPr>
          <w:rFonts w:ascii="Calibri" w:hAnsi="Calibri"/>
          <w:color w:val="000000"/>
          <w:sz w:val="22"/>
          <w:szCs w:val="22"/>
        </w:rPr>
      </w:pPr>
      <w:r w:rsidRPr="00D81973">
        <w:rPr>
          <w:color w:val="000000"/>
          <w:sz w:val="24"/>
          <w:szCs w:val="24"/>
        </w:rPr>
        <w:fldChar w:fldCharType="begin"/>
      </w:r>
      <w:r w:rsidR="00D81973" w:rsidRPr="00D81973">
        <w:rPr>
          <w:color w:val="000000"/>
          <w:sz w:val="24"/>
          <w:szCs w:val="24"/>
        </w:rPr>
        <w:instrText xml:space="preserve"> TOC \o "1-3" \h \z \u </w:instrText>
      </w:r>
      <w:r w:rsidRPr="00D81973">
        <w:rPr>
          <w:color w:val="000000"/>
          <w:sz w:val="24"/>
          <w:szCs w:val="24"/>
        </w:rPr>
        <w:fldChar w:fldCharType="separate"/>
      </w:r>
      <w:hyperlink w:anchor="_Toc242279712" w:history="1">
        <w:r w:rsidR="00D81973" w:rsidRPr="00D81973">
          <w:rPr>
            <w:rStyle w:val="af4"/>
            <w:color w:val="000000"/>
          </w:rPr>
          <w:t>Вводная часть</w:t>
        </w:r>
        <w:r w:rsidR="00D81973" w:rsidRPr="00D81973">
          <w:rPr>
            <w:webHidden/>
            <w:color w:val="000000"/>
          </w:rPr>
          <w:tab/>
        </w:r>
        <w:r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_Toc242279712 \h </w:instrText>
        </w:r>
        <w:r w:rsidRPr="00D81973">
          <w:rPr>
            <w:webHidden/>
            <w:color w:val="000000"/>
          </w:rPr>
        </w:r>
        <w:r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4</w:t>
        </w:r>
        <w:r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33"/>
        <w:rPr>
          <w:rFonts w:ascii="Calibri" w:hAnsi="Calibri"/>
          <w:color w:val="000000"/>
          <w:sz w:val="22"/>
          <w:szCs w:val="22"/>
        </w:rPr>
      </w:pPr>
      <w:hyperlink w:anchor="_Toc242279713" w:history="1">
        <w:r w:rsidR="00D81973" w:rsidRPr="00D81973">
          <w:rPr>
            <w:rStyle w:val="af4"/>
            <w:color w:val="000000"/>
          </w:rPr>
          <w:t>Основные показатели прогноза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_Toc242279713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5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33"/>
        <w:rPr>
          <w:rFonts w:ascii="Calibri" w:hAnsi="Calibri"/>
          <w:color w:val="000000"/>
          <w:sz w:val="22"/>
          <w:szCs w:val="22"/>
        </w:rPr>
      </w:pPr>
      <w:hyperlink w:anchor="_Toc242279714" w:history="1">
        <w:r w:rsidR="00D81973" w:rsidRPr="00D81973">
          <w:rPr>
            <w:rStyle w:val="af4"/>
            <w:color w:val="000000"/>
          </w:rPr>
          <w:t>Пояснительная записка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_Toc242279714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10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33"/>
        <w:rPr>
          <w:rFonts w:ascii="Calibri" w:hAnsi="Calibri"/>
          <w:color w:val="000000"/>
          <w:sz w:val="22"/>
          <w:szCs w:val="22"/>
        </w:rPr>
      </w:pPr>
      <w:hyperlink w:anchor="_Toc242279715" w:history="1">
        <w:r w:rsidR="00D81973" w:rsidRPr="00D81973">
          <w:rPr>
            <w:rStyle w:val="af4"/>
            <w:color w:val="000000"/>
          </w:rPr>
          <w:t>1. Экономическое развитие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_Toc242279715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10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16" w:history="1">
        <w:r w:rsidR="00D81973" w:rsidRPr="00D81973">
          <w:rPr>
            <w:rStyle w:val="af4"/>
            <w:color w:val="000000"/>
          </w:rPr>
          <w:t>1.1. Демографическая ситуация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_Toc242279716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10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17" w:history="1">
        <w:r w:rsidR="00D81973" w:rsidRPr="00D81973">
          <w:rPr>
            <w:rStyle w:val="af4"/>
            <w:color w:val="000000"/>
          </w:rPr>
          <w:t>1.2. Промышленность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_Toc242279717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10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18" w:history="1">
        <w:r w:rsidR="00D81973" w:rsidRPr="00D81973">
          <w:rPr>
            <w:rStyle w:val="af4"/>
            <w:color w:val="000000"/>
          </w:rPr>
          <w:t>1.3. Транспорт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_Toc242279718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14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19" w:history="1">
        <w:r w:rsidR="00D81973" w:rsidRPr="00D81973">
          <w:rPr>
            <w:rStyle w:val="af4"/>
            <w:snapToGrid w:val="0"/>
            <w:color w:val="000000"/>
          </w:rPr>
          <w:t xml:space="preserve">1.4. </w:t>
        </w:r>
        <w:r w:rsidR="00D81973" w:rsidRPr="00D81973">
          <w:rPr>
            <w:rStyle w:val="af4"/>
            <w:color w:val="000000"/>
          </w:rPr>
          <w:t>Потребительский рынок товаров и услуг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_Toc242279719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15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20" w:history="1">
        <w:r w:rsidR="00D81973" w:rsidRPr="00D81973">
          <w:rPr>
            <w:rStyle w:val="af4"/>
            <w:snapToGrid w:val="0"/>
            <w:color w:val="000000"/>
          </w:rPr>
          <w:t>1.5. Малое и среднее предпринимательство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_Toc242279720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15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21" w:history="1">
        <w:r w:rsidR="00D81973" w:rsidRPr="00D81973">
          <w:rPr>
            <w:rStyle w:val="af4"/>
            <w:color w:val="000000"/>
          </w:rPr>
          <w:t>1.6. Инвестиции и строительство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_Toc242279721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16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22" w:history="1">
        <w:r w:rsidR="00D81973" w:rsidRPr="00D81973">
          <w:rPr>
            <w:rStyle w:val="af4"/>
            <w:color w:val="000000"/>
          </w:rPr>
          <w:t>1.7. Рынок труда и занятость населения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_Toc242279722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20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33"/>
        <w:rPr>
          <w:rFonts w:ascii="Calibri" w:hAnsi="Calibri"/>
          <w:color w:val="000000"/>
          <w:sz w:val="22"/>
          <w:szCs w:val="22"/>
        </w:rPr>
      </w:pPr>
      <w:hyperlink w:anchor="_Toc242279723" w:history="1">
        <w:r w:rsidR="00D81973" w:rsidRPr="00D81973">
          <w:rPr>
            <w:rStyle w:val="af4"/>
            <w:color w:val="000000"/>
          </w:rPr>
          <w:t>2. Градостроительство и землепользование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_Toc242279723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21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24" w:history="1">
        <w:r w:rsidR="00D81973" w:rsidRPr="00D81973">
          <w:rPr>
            <w:rStyle w:val="af4"/>
            <w:color w:val="000000"/>
          </w:rPr>
          <w:t>3. Социальная сфера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_Toc242279724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22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25" w:history="1">
        <w:r w:rsidR="00D81973" w:rsidRPr="00D81973">
          <w:rPr>
            <w:rStyle w:val="af4"/>
            <w:color w:val="000000"/>
          </w:rPr>
          <w:t>3.1. Образование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_Toc242279725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22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26" w:history="1">
        <w:r w:rsidR="00D81973" w:rsidRPr="00D81973">
          <w:rPr>
            <w:rStyle w:val="af4"/>
            <w:color w:val="000000"/>
          </w:rPr>
          <w:t>3.2. Социальная защита населения. Здравоохранение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_Toc242279726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26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27" w:history="1">
        <w:r w:rsidR="00D81973" w:rsidRPr="00D81973">
          <w:rPr>
            <w:rStyle w:val="af4"/>
            <w:color w:val="000000"/>
          </w:rPr>
          <w:t>3.3. Культура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_Toc242279727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29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28" w:history="1">
        <w:r w:rsidR="00D81973" w:rsidRPr="00D81973">
          <w:rPr>
            <w:rStyle w:val="af4"/>
            <w:color w:val="000000"/>
          </w:rPr>
          <w:t>3.4. Физическая культура и спорт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_Toc242279728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33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29" w:history="1">
        <w:r w:rsidR="00D81973" w:rsidRPr="00D81973">
          <w:rPr>
            <w:rStyle w:val="af4"/>
            <w:color w:val="000000"/>
          </w:rPr>
          <w:t>3.5. Молодежная политика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_Toc242279729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34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30" w:history="1">
        <w:r w:rsidR="00D81973" w:rsidRPr="00D81973">
          <w:rPr>
            <w:rStyle w:val="af4"/>
            <w:color w:val="000000"/>
          </w:rPr>
          <w:t>4. Жилищно-коммунальное хозяйство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_Toc242279730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39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31" w:history="1">
        <w:r w:rsidR="00D81973" w:rsidRPr="00D81973">
          <w:rPr>
            <w:rStyle w:val="af4"/>
            <w:color w:val="000000"/>
          </w:rPr>
          <w:t>5. Внешнее благоустройство и дорожное хозяйство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_Toc242279731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44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32" w:history="1">
        <w:r w:rsidR="00D81973" w:rsidRPr="00D81973">
          <w:rPr>
            <w:rStyle w:val="af4"/>
            <w:color w:val="000000"/>
          </w:rPr>
          <w:t>6. Улучшение жилищных условий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_Toc242279732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46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000000"/>
          <w:sz w:val="22"/>
          <w:szCs w:val="22"/>
        </w:rPr>
      </w:pPr>
      <w:hyperlink w:anchor="_Toc242279733" w:history="1">
        <w:r w:rsidR="00D81973" w:rsidRPr="00D81973">
          <w:rPr>
            <w:rStyle w:val="af4"/>
            <w:color w:val="000000"/>
          </w:rPr>
          <w:t>7. Управление муниципальным имуществом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_Toc242279733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49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A50D23" w:rsidP="00D81973">
      <w:pPr>
        <w:pStyle w:val="25"/>
        <w:rPr>
          <w:rFonts w:ascii="Calibri" w:hAnsi="Calibri"/>
          <w:color w:val="auto"/>
          <w:sz w:val="22"/>
          <w:szCs w:val="22"/>
        </w:rPr>
      </w:pPr>
      <w:hyperlink w:anchor="_Toc242279734" w:history="1">
        <w:r w:rsidR="00D81973" w:rsidRPr="00D81973">
          <w:rPr>
            <w:rStyle w:val="af4"/>
            <w:color w:val="000000"/>
          </w:rPr>
          <w:t>8. Природопользование и экологическая безопасность</w:t>
        </w:r>
        <w:r w:rsidR="00D81973" w:rsidRPr="00D81973">
          <w:rPr>
            <w:webHidden/>
            <w:color w:val="000000"/>
          </w:rPr>
          <w:tab/>
        </w:r>
        <w:r w:rsidR="00D31B30" w:rsidRPr="00D81973">
          <w:rPr>
            <w:webHidden/>
            <w:color w:val="000000"/>
          </w:rPr>
          <w:fldChar w:fldCharType="begin"/>
        </w:r>
        <w:r w:rsidR="00D81973" w:rsidRPr="00D81973">
          <w:rPr>
            <w:webHidden/>
            <w:color w:val="000000"/>
          </w:rPr>
          <w:instrText xml:space="preserve"> PAGEREF _Toc242279734 \h </w:instrText>
        </w:r>
        <w:r w:rsidR="00D31B30" w:rsidRPr="00D81973">
          <w:rPr>
            <w:webHidden/>
            <w:color w:val="000000"/>
          </w:rPr>
        </w:r>
        <w:r w:rsidR="00D31B30" w:rsidRPr="00D81973">
          <w:rPr>
            <w:webHidden/>
            <w:color w:val="000000"/>
          </w:rPr>
          <w:fldChar w:fldCharType="separate"/>
        </w:r>
        <w:r w:rsidR="001C186C">
          <w:rPr>
            <w:webHidden/>
            <w:color w:val="000000"/>
          </w:rPr>
          <w:t>61</w:t>
        </w:r>
        <w:r w:rsidR="00D31B30" w:rsidRPr="00D81973">
          <w:rPr>
            <w:webHidden/>
            <w:color w:val="000000"/>
          </w:rPr>
          <w:fldChar w:fldCharType="end"/>
        </w:r>
      </w:hyperlink>
    </w:p>
    <w:p w:rsidR="00D81973" w:rsidRPr="00D81973" w:rsidRDefault="00D31B30" w:rsidP="00D81973">
      <w:pPr>
        <w:shd w:val="clear" w:color="auto" w:fill="FFFFFF"/>
        <w:ind w:left="426" w:hanging="852"/>
        <w:rPr>
          <w:noProof/>
          <w:color w:val="000000"/>
          <w:sz w:val="24"/>
          <w:szCs w:val="24"/>
        </w:rPr>
      </w:pPr>
      <w:r w:rsidRPr="00D81973">
        <w:rPr>
          <w:noProof/>
          <w:color w:val="000000"/>
          <w:sz w:val="24"/>
          <w:szCs w:val="24"/>
        </w:rPr>
        <w:fldChar w:fldCharType="end"/>
      </w: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3"/>
        <w:shd w:val="clear" w:color="auto" w:fill="FFFFFF"/>
        <w:rPr>
          <w:color w:val="000000"/>
          <w:sz w:val="24"/>
          <w:szCs w:val="24"/>
        </w:rPr>
      </w:pPr>
      <w:bookmarkStart w:id="1" w:name="_Toc242279712"/>
      <w:r w:rsidRPr="00D81973">
        <w:rPr>
          <w:color w:val="000000"/>
          <w:sz w:val="24"/>
          <w:szCs w:val="24"/>
        </w:rPr>
        <w:lastRenderedPageBreak/>
        <w:t>Вводная часть</w:t>
      </w:r>
      <w:bookmarkEnd w:id="1"/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ab/>
        <w:t xml:space="preserve">Прогноз социально-экономического развития муниципального образования Сосновоборский городской округ Ленинградской области на 2027-2029 годы разработан в целях повышения эффективности управления социально-экономическими процессами в муниципальном образовании и в соответствии с Бюджетным кодексом Российской Федерации, является основой для составления проекта бюджета и документом, представляемым в совет депутатов Сосновоборского городского округа одновременно с проектом решения о бюджете. 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ab/>
        <w:t>Прогноз социально-экономического развития муниципального образования Сосновоборский городской округ Ленинградской области на 2027-2029 годы (далее – среднесрочный прогноз) разработан в соответствии с Положением о стратегическом планировании в Сосновоборском городском округе, утвержденном решением совета депутатов Сосновоборского городского округа от 28.10.2015 № 154; постановлением администрации Сосновоборского городского округа  от  17.11.2020 № 2301 «О порядке подготовки прогноза и итогов социально-экономического развития Сосновоборского городского округа», методическими рекомендациями по осуществлению стратегического планирования на уровне муниципальных образований Ленинградской области.</w:t>
      </w:r>
    </w:p>
    <w:p w:rsidR="00D81973" w:rsidRPr="00D81973" w:rsidRDefault="00D81973" w:rsidP="00D81973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Основной целью социально-экономического развития муниципального образования Сосновоборский городской округ Ленинградской области на среднесрочную перспективу является обеспечение повышения уровня и качества жизни населения, обеспечение решения вопросов местного значения, утвержденных к исполнению действующим федеральным законодательством - Федеральным законом от 06.10.2003 № 131-ФЗ «Об общих принципах организации местного самоуправления в Российской Федерации». Все полномочия муниципального образования Сосновоборский городской округ Ленинградской области осуществляет администрация Сосновоборского городского округа.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При разработке основных параметров среднесрочного прогноза использованы данные органов государственной статистики, прогнозов ведущих предприятий города, материалов комитета экономического развития и инвестиционной деятельности Ленинградской области и Министерства экономического развития Российской Федерации.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Основные показатели среднесрочного прогноза содержат следующую информацию: фактические показатели за 2025 год, оценку 2026 года и прогнозные показатели на 2027-2029 годы. 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Среднесрочный прогноз разработан на трехлетний период, в одном базовом варианте в действующих ценах и формируется из двух разделов: показателей прогноза и пояснительной записки, характеризующей развитие отраслей экономики и социальной сферы округа.</w:t>
      </w:r>
    </w:p>
    <w:p w:rsidR="00D81973" w:rsidRPr="00D81973" w:rsidRDefault="00D81973" w:rsidP="00D81973">
      <w:pPr>
        <w:shd w:val="clear" w:color="auto" w:fill="FFFFFF"/>
        <w:tabs>
          <w:tab w:val="left" w:pos="709"/>
        </w:tabs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ab/>
        <w:t>Структура среднесрочного прогноза: «</w:t>
      </w:r>
      <w:r w:rsidRPr="00D81973">
        <w:rPr>
          <w:bCs/>
          <w:color w:val="000000"/>
          <w:sz w:val="24"/>
          <w:szCs w:val="24"/>
        </w:rPr>
        <w:t xml:space="preserve">Основные показатели прогноза социально-экономического развития Сосновоборского городского округа на 2027-2029 годы» - Приложение №1; Пояснительная записка к Прогнозу: «Экономическое развитие» - Приложение №2, </w:t>
      </w:r>
      <w:r w:rsidRPr="00D81973">
        <w:rPr>
          <w:color w:val="000000"/>
          <w:sz w:val="24"/>
          <w:szCs w:val="24"/>
        </w:rPr>
        <w:t>«Градостроительство, социальная сфера и ЖКХ»</w:t>
      </w:r>
      <w:r w:rsidRPr="00D81973">
        <w:rPr>
          <w:bCs/>
          <w:color w:val="000000"/>
          <w:sz w:val="24"/>
          <w:szCs w:val="24"/>
        </w:rPr>
        <w:t xml:space="preserve"> - Приложение №3</w:t>
      </w:r>
      <w:r w:rsidRPr="00D81973">
        <w:rPr>
          <w:color w:val="000000"/>
          <w:sz w:val="24"/>
          <w:szCs w:val="24"/>
        </w:rPr>
        <w:t>.</w:t>
      </w:r>
    </w:p>
    <w:p w:rsidR="00D81973" w:rsidRPr="00D81973" w:rsidRDefault="00D81973" w:rsidP="00D81973">
      <w:pPr>
        <w:shd w:val="clear" w:color="auto" w:fill="FFFFFF"/>
        <w:tabs>
          <w:tab w:val="left" w:pos="709"/>
        </w:tabs>
        <w:jc w:val="both"/>
        <w:rPr>
          <w:bCs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ab/>
      </w:r>
    </w:p>
    <w:p w:rsidR="00D81973" w:rsidRPr="00D81973" w:rsidRDefault="00D81973" w:rsidP="00D81973">
      <w:pPr>
        <w:shd w:val="clear" w:color="auto" w:fill="FFFFFF"/>
        <w:tabs>
          <w:tab w:val="left" w:pos="709"/>
        </w:tabs>
        <w:jc w:val="both"/>
        <w:rPr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tabs>
          <w:tab w:val="left" w:pos="709"/>
        </w:tabs>
        <w:jc w:val="both"/>
        <w:rPr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  <w:sectPr w:rsidR="00D81973" w:rsidRPr="00D81973" w:rsidSect="00F057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20" w:footer="454" w:gutter="0"/>
          <w:pgNumType w:start="0"/>
          <w:cols w:space="720"/>
          <w:titlePg/>
          <w:docGrid w:linePitch="272"/>
        </w:sect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  <w:r w:rsidRPr="00D81973">
        <w:rPr>
          <w:bCs/>
          <w:color w:val="000000"/>
          <w:szCs w:val="24"/>
        </w:rPr>
        <w:lastRenderedPageBreak/>
        <w:t>Приложение №1</w:t>
      </w:r>
    </w:p>
    <w:p w:rsidR="00D81973" w:rsidRPr="00D81973" w:rsidRDefault="00D81973" w:rsidP="00D81973">
      <w:pPr>
        <w:pStyle w:val="3"/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3"/>
        <w:shd w:val="clear" w:color="auto" w:fill="FFFFFF"/>
        <w:rPr>
          <w:color w:val="000000"/>
          <w:sz w:val="24"/>
          <w:szCs w:val="24"/>
        </w:rPr>
      </w:pPr>
      <w:bookmarkStart w:id="2" w:name="_Toc242279713"/>
      <w:r w:rsidRPr="00D81973">
        <w:rPr>
          <w:color w:val="000000"/>
          <w:sz w:val="24"/>
          <w:szCs w:val="24"/>
        </w:rPr>
        <w:t>Основные показатели прогноза</w:t>
      </w:r>
      <w:bookmarkEnd w:id="2"/>
    </w:p>
    <w:p w:rsidR="00D81973" w:rsidRPr="00D81973" w:rsidRDefault="00D81973" w:rsidP="00D81973">
      <w:pPr>
        <w:pStyle w:val="a9"/>
        <w:shd w:val="clear" w:color="auto" w:fill="FFFFFF"/>
        <w:jc w:val="center"/>
        <w:rPr>
          <w:b/>
          <w:bCs/>
          <w:color w:val="000000"/>
          <w:szCs w:val="24"/>
        </w:rPr>
      </w:pPr>
      <w:bookmarkStart w:id="3" w:name="_Toc234897093"/>
      <w:r w:rsidRPr="00D81973">
        <w:rPr>
          <w:b/>
          <w:bCs/>
          <w:color w:val="000000"/>
          <w:szCs w:val="24"/>
        </w:rPr>
        <w:t>социально-экономического развития Сосновоборского городского округа на 2027-2029 годы</w:t>
      </w:r>
    </w:p>
    <w:p w:rsidR="00D81973" w:rsidRPr="00D81973" w:rsidRDefault="00D81973" w:rsidP="00D81973">
      <w:pPr>
        <w:pStyle w:val="a9"/>
        <w:shd w:val="clear" w:color="auto" w:fill="FFFFFF"/>
        <w:jc w:val="center"/>
        <w:rPr>
          <w:b/>
          <w:bCs/>
          <w:color w:val="000000"/>
          <w:szCs w:val="24"/>
        </w:rPr>
      </w:pPr>
    </w:p>
    <w:tbl>
      <w:tblPr>
        <w:tblW w:w="15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5194"/>
        <w:gridCol w:w="2147"/>
        <w:gridCol w:w="1320"/>
        <w:gridCol w:w="1580"/>
        <w:gridCol w:w="1360"/>
        <w:gridCol w:w="1298"/>
        <w:gridCol w:w="1518"/>
      </w:tblGrid>
      <w:tr w:rsidR="00D81973" w:rsidRPr="00667059" w:rsidTr="00AA1D5B">
        <w:trPr>
          <w:trHeight w:val="315"/>
          <w:tblHeader/>
        </w:trPr>
        <w:tc>
          <w:tcPr>
            <w:tcW w:w="876" w:type="dxa"/>
            <w:vMerge w:val="restart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5194" w:type="dxa"/>
            <w:vMerge w:val="restart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Наименование, раздела, показателя</w:t>
            </w:r>
          </w:p>
        </w:tc>
        <w:tc>
          <w:tcPr>
            <w:tcW w:w="2147" w:type="dxa"/>
            <w:vMerge w:val="restart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58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4176" w:type="dxa"/>
            <w:gridSpan w:val="3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D81973" w:rsidRPr="00667059" w:rsidTr="00AA1D5B">
        <w:trPr>
          <w:trHeight w:val="315"/>
          <w:tblHeader/>
        </w:trPr>
        <w:tc>
          <w:tcPr>
            <w:tcW w:w="876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94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8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36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98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18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Демографические показатели*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1973" w:rsidRPr="00667059" w:rsidTr="00D81973">
        <w:trPr>
          <w:trHeight w:val="315"/>
        </w:trPr>
        <w:tc>
          <w:tcPr>
            <w:tcW w:w="876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94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Численность населения (на 1 января года)</w:t>
            </w:r>
          </w:p>
        </w:tc>
        <w:tc>
          <w:tcPr>
            <w:tcW w:w="2147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320" w:type="dxa"/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63 746</w:t>
            </w:r>
          </w:p>
        </w:tc>
        <w:tc>
          <w:tcPr>
            <w:tcW w:w="1580" w:type="dxa"/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360" w:type="dxa"/>
            <w:shd w:val="clear" w:color="auto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98" w:type="dxa"/>
            <w:shd w:val="clear" w:color="auto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518" w:type="dxa"/>
            <w:shd w:val="clear" w:color="auto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Х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Промышленное производство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1973" w:rsidRPr="00667059" w:rsidTr="00D81973">
        <w:trPr>
          <w:trHeight w:val="765"/>
        </w:trPr>
        <w:tc>
          <w:tcPr>
            <w:tcW w:w="876" w:type="dxa"/>
            <w:vMerge w:val="restart"/>
            <w:shd w:val="clear" w:color="auto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94" w:type="dxa"/>
            <w:vMerge w:val="restart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Отгружено товаров собственного производства, выполнено работ и услуг собственными силами (без субъектов малого предпринимательства), всего</w:t>
            </w:r>
          </w:p>
        </w:tc>
        <w:tc>
          <w:tcPr>
            <w:tcW w:w="2147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144 316,2</w:t>
            </w:r>
          </w:p>
        </w:tc>
        <w:tc>
          <w:tcPr>
            <w:tcW w:w="1580" w:type="dxa"/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157 458,2 </w:t>
            </w:r>
          </w:p>
        </w:tc>
        <w:tc>
          <w:tcPr>
            <w:tcW w:w="1360" w:type="dxa"/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157 970,2 </w:t>
            </w:r>
          </w:p>
        </w:tc>
        <w:tc>
          <w:tcPr>
            <w:tcW w:w="1298" w:type="dxa"/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160 859,2 </w:t>
            </w:r>
          </w:p>
        </w:tc>
        <w:tc>
          <w:tcPr>
            <w:tcW w:w="1518" w:type="dxa"/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163 438,4 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5194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118,4</w:t>
            </w:r>
          </w:p>
        </w:tc>
        <w:tc>
          <w:tcPr>
            <w:tcW w:w="158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109,1</w:t>
            </w:r>
          </w:p>
        </w:tc>
        <w:tc>
          <w:tcPr>
            <w:tcW w:w="136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298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101,8</w:t>
            </w:r>
          </w:p>
        </w:tc>
        <w:tc>
          <w:tcPr>
            <w:tcW w:w="1518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101,6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auto" w:fill="auto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194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Строительство</w:t>
            </w:r>
          </w:p>
        </w:tc>
        <w:tc>
          <w:tcPr>
            <w:tcW w:w="2147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8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1973" w:rsidRPr="00667059" w:rsidTr="00D81973">
        <w:trPr>
          <w:trHeight w:val="435"/>
        </w:trPr>
        <w:tc>
          <w:tcPr>
            <w:tcW w:w="876" w:type="dxa"/>
            <w:vMerge w:val="restart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94" w:type="dxa"/>
            <w:vMerge w:val="restart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Объем работ, выполненных по виду деятельности "Строительство" (раздел F)</w:t>
            </w:r>
          </w:p>
        </w:tc>
        <w:tc>
          <w:tcPr>
            <w:tcW w:w="2147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21 184,6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41 624,9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108 417,9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156 541,8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117 704,4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vMerge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5194" w:type="dxa"/>
            <w:vMerge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 2 раза больше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 2,6 раз больше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75,2</w:t>
            </w:r>
          </w:p>
        </w:tc>
      </w:tr>
      <w:tr w:rsidR="00D81973" w:rsidRPr="00667059" w:rsidTr="00D81973">
        <w:trPr>
          <w:trHeight w:val="630"/>
        </w:trPr>
        <w:tc>
          <w:tcPr>
            <w:tcW w:w="876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94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Введено в действие жилых домов на территории муниципального образования</w:t>
            </w:r>
          </w:p>
        </w:tc>
        <w:tc>
          <w:tcPr>
            <w:tcW w:w="2147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кв. метров общей площади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28 900,0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29 206,5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39 230,3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27 352,0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27 089,0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94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Общая площадь жилых помещений, приходящаяся в среднем на одного жителя </w:t>
            </w:r>
          </w:p>
        </w:tc>
        <w:tc>
          <w:tcPr>
            <w:tcW w:w="2147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кв. метров общей площади на 1 чел.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29,1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72,47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72,47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74,97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74,97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74,97</w:t>
            </w:r>
          </w:p>
        </w:tc>
      </w:tr>
      <w:tr w:rsidR="00D81973" w:rsidRPr="00667059" w:rsidTr="00AA1D5B">
        <w:trPr>
          <w:trHeight w:val="945"/>
        </w:trPr>
        <w:tc>
          <w:tcPr>
            <w:tcW w:w="876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61,08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61,08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63,58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63,58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63,58</w:t>
            </w:r>
          </w:p>
        </w:tc>
      </w:tr>
      <w:tr w:rsidR="00D81973" w:rsidRPr="00667059" w:rsidTr="00AA1D5B">
        <w:trPr>
          <w:trHeight w:val="1260"/>
        </w:trPr>
        <w:tc>
          <w:tcPr>
            <w:tcW w:w="876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Удельный вес автомобильных дорог с твердым покрытием в общей протяженности автомобильных дорог общего пользования (на конец года)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84,28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84,28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84,8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84,8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84,8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Потребительский рынок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81973" w:rsidRPr="00667059" w:rsidTr="00D81973">
        <w:trPr>
          <w:trHeight w:val="315"/>
        </w:trPr>
        <w:tc>
          <w:tcPr>
            <w:tcW w:w="876" w:type="dxa"/>
            <w:vMerge w:val="restart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94" w:type="dxa"/>
            <w:vMerge w:val="restart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Оборот розничной торговли (без субъектов малого предпринимательства)</w:t>
            </w:r>
          </w:p>
        </w:tc>
        <w:tc>
          <w:tcPr>
            <w:tcW w:w="2147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16 801,8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17 850,0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19 046,0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20 379,2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21 907,6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5194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110,5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107,5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vMerge w:val="restart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94" w:type="dxa"/>
            <w:vMerge w:val="restart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Объем платных услуг населению 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1 373,1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1 470,0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1 577,3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1 695,6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1 831,3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5194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120,5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107,1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108,0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vMerge w:val="restart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94" w:type="dxa"/>
            <w:vMerge w:val="restart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Оборот общественного питания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380,2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410,8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431,3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455,1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5194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105,5</w:t>
            </w:r>
          </w:p>
        </w:tc>
      </w:tr>
      <w:tr w:rsidR="00D81973" w:rsidRPr="00382E29" w:rsidTr="00AA1D5B">
        <w:trPr>
          <w:trHeight w:val="374"/>
        </w:trPr>
        <w:tc>
          <w:tcPr>
            <w:tcW w:w="876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194" w:type="dxa"/>
            <w:shd w:val="clear" w:color="000000" w:fill="FFFFFF"/>
            <w:vAlign w:val="center"/>
          </w:tcPr>
          <w:p w:rsidR="00D81973" w:rsidRPr="00D81973" w:rsidRDefault="00D81973" w:rsidP="00AA1D5B">
            <w:pPr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AA1D5B">
            <w:pPr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Индекс потребительских цен в среднем за год</w:t>
            </w: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% к предыдущему году 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106,6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105,7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  <w:lang w:val="en-US"/>
              </w:rPr>
              <w:t>VI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Малое и среднее предпринимательство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81973" w:rsidRPr="00667059" w:rsidTr="00D81973">
        <w:trPr>
          <w:trHeight w:val="630"/>
        </w:trPr>
        <w:tc>
          <w:tcPr>
            <w:tcW w:w="876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94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2147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2 112</w:t>
            </w:r>
          </w:p>
        </w:tc>
        <w:tc>
          <w:tcPr>
            <w:tcW w:w="1580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2 150</w:t>
            </w:r>
          </w:p>
        </w:tc>
        <w:tc>
          <w:tcPr>
            <w:tcW w:w="1360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2 170</w:t>
            </w:r>
          </w:p>
        </w:tc>
        <w:tc>
          <w:tcPr>
            <w:tcW w:w="1298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2 180</w:t>
            </w:r>
          </w:p>
        </w:tc>
        <w:tc>
          <w:tcPr>
            <w:tcW w:w="1518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2 200</w:t>
            </w:r>
          </w:p>
        </w:tc>
      </w:tr>
      <w:tr w:rsidR="00D81973" w:rsidRPr="00667059" w:rsidTr="00AA1D5B">
        <w:trPr>
          <w:trHeight w:val="1260"/>
        </w:trPr>
        <w:tc>
          <w:tcPr>
            <w:tcW w:w="876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Среднесписочная численность работников на предприятиях малого и среднего предпринимательства (включая микропредприятия)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12 908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13 300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13 700</w:t>
            </w:r>
          </w:p>
        </w:tc>
        <w:tc>
          <w:tcPr>
            <w:tcW w:w="1298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14 000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14 200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auto" w:fill="auto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  <w:lang w:val="en-US"/>
              </w:rPr>
              <w:t>VII</w:t>
            </w:r>
          </w:p>
        </w:tc>
        <w:tc>
          <w:tcPr>
            <w:tcW w:w="5194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Инвестиции</w:t>
            </w:r>
          </w:p>
        </w:tc>
        <w:tc>
          <w:tcPr>
            <w:tcW w:w="2147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81973" w:rsidRPr="00667059" w:rsidTr="00D81973">
        <w:trPr>
          <w:trHeight w:val="315"/>
        </w:trPr>
        <w:tc>
          <w:tcPr>
            <w:tcW w:w="876" w:type="dxa"/>
            <w:vMerge w:val="restart"/>
            <w:shd w:val="clear" w:color="auto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194" w:type="dxa"/>
            <w:vMerge w:val="restart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Инвестиции в основной капитал, осуществляемые организациями, находящимися на территории муниципального образования (без субъектов малого предпринимательства)</w:t>
            </w:r>
          </w:p>
        </w:tc>
        <w:tc>
          <w:tcPr>
            <w:tcW w:w="2147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33 247,9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53 771,3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111 780,1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278 164,4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223 487,5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5194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116,5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в 1,6 раза больше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 2 раза больше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 2,5 раза больше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80,3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Распределение инвестиций в основной капитал по видам экономической деятельности: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С: обрабатывающие производства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498,8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531,2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557,8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580,7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604,5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D: Обеспечение электрической энергией, газом и паром; кондиционирование воздуха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27 543,6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48 954,6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107 430,6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274 146,0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219 126,4</w:t>
            </w:r>
          </w:p>
        </w:tc>
      </w:tr>
      <w:tr w:rsidR="00D81973" w:rsidRPr="00667059" w:rsidTr="00AA1D5B">
        <w:trPr>
          <w:trHeight w:val="94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Е: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267,1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284,5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298,7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310,9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323,7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F: строительство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1 186,2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1 257,1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367,0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D81973" w:rsidRPr="00667059" w:rsidTr="00AA1D5B">
        <w:trPr>
          <w:trHeight w:val="94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G: Торговля оптовая и розничная; ремонт автотранспортных средств и мотоциклов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136,7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142,3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2.6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I: Деятельность гостиниц и предприятий общественного питания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2.7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H: Транспортировка и хранение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93,5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97,1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101,1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2.8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J: Деятельность в области информации и связи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2.9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L: Деятельность по операциям с недвижимым имуществом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2.10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M: Деятельность профессиональная, научная и техническая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2 095,6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1 218,6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1 524,4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1 121,7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1 343,9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2.11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N: Деятельность административная и сопутствующие дополнительные услуги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296,4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76,8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80,7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90,8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90,8</w:t>
            </w:r>
          </w:p>
        </w:tc>
      </w:tr>
      <w:tr w:rsidR="00D81973" w:rsidRPr="00667059" w:rsidTr="00AA1D5B">
        <w:trPr>
          <w:trHeight w:val="94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O: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837,4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891,8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936,4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974,8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1 014,7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2.13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P: Образование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118,0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127,9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2.14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Q: Деятельность в области здравоохранения и социальных услуг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56,1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59,7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62,7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65,3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68,0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2.15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R: Деятельность в области культуры, спорта, организации досуга и развлечений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23,6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26,4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28,6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2.19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Раздел S: Предоставление прочих видов услуг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143,8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157,1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163,6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Инвестиции в основной капитал по источникам финансирования, всего: 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33 247,9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53 771,3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111 780,1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278 164,4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223 487,5</w:t>
            </w:r>
          </w:p>
        </w:tc>
      </w:tr>
      <w:tr w:rsidR="00D81973" w:rsidRPr="006D315C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Собственные средства предприятий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30 910,4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50962,77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109478,81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275594,47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220561,47</w:t>
            </w:r>
          </w:p>
        </w:tc>
      </w:tr>
      <w:tr w:rsidR="00D81973" w:rsidRPr="006D315C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Привлеченные средства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2 337,5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795,6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296,6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486,2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750,8</w:t>
            </w:r>
          </w:p>
        </w:tc>
      </w:tr>
      <w:tr w:rsidR="00D81973" w:rsidRPr="006D315C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     Бюджетные средства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1 986,7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456,3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722,5</w:t>
            </w:r>
          </w:p>
        </w:tc>
      </w:tr>
      <w:tr w:rsidR="00D81973" w:rsidRPr="006D315C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3.2.1.1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         из федерального бюджета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1 099,7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411,9</w:t>
            </w:r>
          </w:p>
        </w:tc>
      </w:tr>
      <w:tr w:rsidR="00D81973" w:rsidRPr="006D315C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3.2.1.2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         из областного бюджета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169,8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54,1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81973" w:rsidRPr="006D315C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3.2.1.3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         из бюджета муниципального образования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717,2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237,5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302,7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310,6</w:t>
            </w:r>
          </w:p>
        </w:tc>
      </w:tr>
      <w:tr w:rsidR="00D81973" w:rsidRPr="006D315C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3.2.2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     Прочие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350,7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2 012,93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2004,69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2083,73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AA1D5B">
            <w:pPr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2175,23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  <w:lang w:val="en-US"/>
              </w:rPr>
              <w:t>VIII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Рынок труда и занятость населения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8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94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Численность занятых в экономике (среднегодовая)</w:t>
            </w:r>
          </w:p>
        </w:tc>
        <w:tc>
          <w:tcPr>
            <w:tcW w:w="2147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40 411,0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37 824,0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38 521,0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39 161,0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39 435,0</w:t>
            </w:r>
          </w:p>
        </w:tc>
      </w:tr>
      <w:tr w:rsidR="00D81973" w:rsidRPr="00667059" w:rsidTr="00AA1D5B">
        <w:trPr>
          <w:trHeight w:val="945"/>
        </w:trPr>
        <w:tc>
          <w:tcPr>
            <w:tcW w:w="876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Численность безработных, зарегистрированных в органах государственной службы занятости (на конец года)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</w:t>
            </w:r>
          </w:p>
        </w:tc>
      </w:tr>
      <w:tr w:rsidR="00D81973" w:rsidRPr="00667059" w:rsidTr="00D81973">
        <w:trPr>
          <w:trHeight w:val="630"/>
        </w:trPr>
        <w:tc>
          <w:tcPr>
            <w:tcW w:w="876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94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Уровень зарегистрированной безработицы (на конец года)</w:t>
            </w:r>
          </w:p>
        </w:tc>
        <w:tc>
          <w:tcPr>
            <w:tcW w:w="2147" w:type="dxa"/>
            <w:shd w:val="clear" w:color="auto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0,05</w:t>
            </w:r>
          </w:p>
        </w:tc>
      </w:tr>
      <w:tr w:rsidR="00D81973" w:rsidRPr="00667059" w:rsidTr="00AA1D5B">
        <w:trPr>
          <w:trHeight w:val="945"/>
        </w:trPr>
        <w:tc>
          <w:tcPr>
            <w:tcW w:w="876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194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Количество вакансий, заявленных предприятиями, в центры занятости населения  (на конец года)</w:t>
            </w: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D81973" w:rsidRPr="00667059" w:rsidTr="00AA1D5B">
        <w:trPr>
          <w:trHeight w:val="630"/>
        </w:trPr>
        <w:tc>
          <w:tcPr>
            <w:tcW w:w="876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194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Среднесписочная численность работников организаций, не относящихся к субъектам малого предпринимательства </w:t>
            </w:r>
          </w:p>
        </w:tc>
        <w:tc>
          <w:tcPr>
            <w:tcW w:w="2147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25 032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25 373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26 064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26 406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26 480</w:t>
            </w:r>
          </w:p>
        </w:tc>
      </w:tr>
      <w:tr w:rsidR="00D81973" w:rsidRPr="00667059" w:rsidTr="00AA1D5B">
        <w:trPr>
          <w:trHeight w:val="480"/>
        </w:trPr>
        <w:tc>
          <w:tcPr>
            <w:tcW w:w="876" w:type="dxa"/>
            <w:vMerge w:val="restart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194" w:type="dxa"/>
            <w:vMerge w:val="restart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Среднемесячная номинальная начисленная заработная плата работников организаций, не относящихся к субъектам малого предпринимательства</w:t>
            </w:r>
          </w:p>
        </w:tc>
        <w:tc>
          <w:tcPr>
            <w:tcW w:w="2147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137 508,0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152 348,6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162 251,3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173 446,6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185 761,3</w:t>
            </w:r>
          </w:p>
        </w:tc>
      </w:tr>
      <w:tr w:rsidR="00D81973" w:rsidRPr="00667059" w:rsidTr="00AA1D5B">
        <w:trPr>
          <w:trHeight w:val="570"/>
        </w:trPr>
        <w:tc>
          <w:tcPr>
            <w:tcW w:w="876" w:type="dxa"/>
            <w:vMerge/>
            <w:shd w:val="clear" w:color="auto" w:fill="FF0000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5194" w:type="dxa"/>
            <w:vMerge/>
            <w:shd w:val="clear" w:color="auto" w:fill="FF0000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% к предыдущему году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110,8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106,9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107,1</w:t>
            </w:r>
          </w:p>
        </w:tc>
      </w:tr>
      <w:tr w:rsidR="00D81973" w:rsidRPr="00667059" w:rsidTr="00AA1D5B">
        <w:trPr>
          <w:trHeight w:val="623"/>
        </w:trPr>
        <w:tc>
          <w:tcPr>
            <w:tcW w:w="876" w:type="dxa"/>
            <w:vMerge w:val="restart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194" w:type="dxa"/>
            <w:vMerge w:val="restart"/>
            <w:shd w:val="clear" w:color="000000" w:fill="FFFFFF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Фонд заработной платы списочного состава организаций, не относящихся к субъектам малого предпринимательства</w:t>
            </w: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41 305,2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46 385,7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50 747,6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54 959,7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59 026,7</w:t>
            </w:r>
          </w:p>
        </w:tc>
      </w:tr>
      <w:tr w:rsidR="00D81973" w:rsidRPr="00667059" w:rsidTr="00AA1D5B">
        <w:trPr>
          <w:trHeight w:val="315"/>
        </w:trPr>
        <w:tc>
          <w:tcPr>
            <w:tcW w:w="876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5194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% к предыдущему году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115,9</w:t>
            </w: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112,3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107,4</w:t>
            </w:r>
          </w:p>
        </w:tc>
      </w:tr>
    </w:tbl>
    <w:p w:rsidR="00D81973" w:rsidRPr="00D81973" w:rsidRDefault="00D81973" w:rsidP="00D81973">
      <w:pPr>
        <w:pStyle w:val="af2"/>
        <w:shd w:val="clear" w:color="auto" w:fill="FFFFFF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tabs>
          <w:tab w:val="left" w:pos="567"/>
        </w:tabs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ab/>
        <w:t>*Сведения Петростата о численности населения по состоянию на 01.01.2026г. отсутствуют, т.к. в соответствии с ч. 10 ст. 5 Федерального закона от 29 ноября 2007 г. № 282-ФЗ «Об официальном статистическом учете и системе государственной статистики в Российской Федерации» предоставление и распространение отдельных показателей демографической статистики, в том числе численности населения, временно приостановлено.</w:t>
      </w:r>
    </w:p>
    <w:p w:rsidR="00D81973" w:rsidRPr="00D81973" w:rsidRDefault="00D81973" w:rsidP="00D81973">
      <w:pPr>
        <w:shd w:val="clear" w:color="auto" w:fill="FFFFFF"/>
        <w:tabs>
          <w:tab w:val="left" w:pos="1354"/>
        </w:tabs>
        <w:jc w:val="both"/>
        <w:rPr>
          <w:color w:val="000000"/>
          <w:sz w:val="24"/>
          <w:szCs w:val="24"/>
        </w:rPr>
        <w:sectPr w:rsidR="00D81973" w:rsidRPr="00D81973" w:rsidSect="00E20A57">
          <w:pgSz w:w="16838" w:h="11906" w:orient="landscape"/>
          <w:pgMar w:top="720" w:right="720" w:bottom="720" w:left="720" w:header="720" w:footer="454" w:gutter="0"/>
          <w:cols w:space="720"/>
          <w:titlePg/>
          <w:docGrid w:linePitch="272"/>
        </w:sectPr>
      </w:pPr>
      <w:r w:rsidRPr="00D81973">
        <w:rPr>
          <w:color w:val="000000"/>
          <w:sz w:val="24"/>
          <w:szCs w:val="24"/>
        </w:rPr>
        <w:tab/>
      </w: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  <w:r w:rsidRPr="00D81973">
        <w:rPr>
          <w:bCs/>
          <w:color w:val="000000"/>
          <w:szCs w:val="24"/>
        </w:rPr>
        <w:lastRenderedPageBreak/>
        <w:t>Приложение №2</w:t>
      </w:r>
    </w:p>
    <w:p w:rsidR="00D81973" w:rsidRPr="00D81973" w:rsidRDefault="00D81973" w:rsidP="00D81973">
      <w:pPr>
        <w:pStyle w:val="3"/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3"/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3"/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3"/>
        <w:shd w:val="clear" w:color="auto" w:fill="FFFFFF"/>
        <w:rPr>
          <w:color w:val="000000"/>
          <w:sz w:val="24"/>
          <w:szCs w:val="24"/>
        </w:rPr>
      </w:pPr>
      <w:bookmarkStart w:id="4" w:name="_Toc242279714"/>
      <w:r w:rsidRPr="00D81973">
        <w:rPr>
          <w:color w:val="000000"/>
          <w:sz w:val="24"/>
          <w:szCs w:val="24"/>
        </w:rPr>
        <w:t>Пояснительная записка</w:t>
      </w:r>
      <w:bookmarkEnd w:id="4"/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к прогнозу социально-экономического развития</w:t>
      </w: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Сосновоборского городского округа на 2027-2029 годы</w:t>
      </w: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3"/>
        <w:shd w:val="clear" w:color="auto" w:fill="FFFFFF"/>
        <w:rPr>
          <w:color w:val="000000"/>
          <w:sz w:val="24"/>
          <w:szCs w:val="24"/>
        </w:rPr>
      </w:pPr>
      <w:bookmarkStart w:id="5" w:name="_Toc242279715"/>
      <w:r w:rsidRPr="00D81973">
        <w:rPr>
          <w:color w:val="000000"/>
          <w:sz w:val="24"/>
          <w:szCs w:val="24"/>
        </w:rPr>
        <w:t>1. Экономическое развитие</w:t>
      </w:r>
      <w:bookmarkEnd w:id="5"/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6" w:name="_Toc299458154"/>
      <w:bookmarkStart w:id="7" w:name="_Toc242279716"/>
      <w:r w:rsidRPr="00D81973">
        <w:rPr>
          <w:color w:val="000000"/>
          <w:szCs w:val="24"/>
        </w:rPr>
        <w:t>1.1. Демографическая ситуация</w:t>
      </w:r>
      <w:bookmarkEnd w:id="6"/>
      <w:bookmarkEnd w:id="7"/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b/>
          <w:bCs/>
          <w:color w:val="000000"/>
          <w:sz w:val="24"/>
          <w:szCs w:val="24"/>
        </w:rPr>
      </w:pPr>
      <w:bookmarkStart w:id="8" w:name="_Toc267584897"/>
      <w:r w:rsidRPr="00D81973">
        <w:rPr>
          <w:b/>
          <w:bCs/>
          <w:color w:val="000000"/>
          <w:sz w:val="24"/>
          <w:szCs w:val="24"/>
        </w:rPr>
        <w:t>Ожидаемые итоги 2026 года.</w:t>
      </w:r>
    </w:p>
    <w:p w:rsidR="00D81973" w:rsidRPr="00D81973" w:rsidRDefault="00D81973" w:rsidP="00D81973">
      <w:pPr>
        <w:pStyle w:val="34"/>
        <w:shd w:val="clear" w:color="auto" w:fill="FFFFFF"/>
        <w:spacing w:after="0"/>
        <w:ind w:left="0"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Численность населения округа на 01.01.2025 года по уточнённым данным Петростата составила 63746 человек, относящихся к категории городского населения.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Сведения Петростата о численности населения по состоянию на 01.01.2026г. отсутствуют, т.к. в соответствии с ч. 10 ст. 5 Федерального закона от 29 ноября 2007 г. № 282-ФЗ «Об официальном статистическом учете и системе государственной статистики в Российской Федерации» предоставление и распространение отдельных показателей демографической статистики, в том числе численности населения, временно приостановлено.</w:t>
      </w:r>
    </w:p>
    <w:p w:rsidR="00D81973" w:rsidRPr="00D81973" w:rsidRDefault="00D81973" w:rsidP="00D81973">
      <w:pPr>
        <w:shd w:val="clear" w:color="auto" w:fill="FFFFFF"/>
        <w:tabs>
          <w:tab w:val="left" w:pos="1210"/>
        </w:tabs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В соответствии с письмом Минэкономразвития России от 28.05.2026 </w:t>
      </w:r>
      <w:r w:rsidRPr="00D81973">
        <w:rPr>
          <w:rFonts w:eastAsia="Calibri"/>
          <w:color w:val="000000"/>
          <w:sz w:val="24"/>
          <w:szCs w:val="24"/>
        </w:rPr>
        <w:br/>
        <w:t>№ 19591-СС/Д14и, а также отдельными решениями Правительства Российской Федерации,  данные по разделу «Население» не подлежат публикации и распространению.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9" w:name="_Toc267584900"/>
      <w:bookmarkStart w:id="10" w:name="_Toc242279717"/>
      <w:r w:rsidRPr="00D81973">
        <w:rPr>
          <w:color w:val="000000"/>
          <w:szCs w:val="24"/>
        </w:rPr>
        <w:t>1.2. Промышленность</w:t>
      </w:r>
      <w:bookmarkEnd w:id="9"/>
      <w:bookmarkEnd w:id="10"/>
    </w:p>
    <w:p w:rsidR="00D81973" w:rsidRPr="00D81973" w:rsidRDefault="00D81973" w:rsidP="00D81973">
      <w:pPr>
        <w:keepNext/>
        <w:shd w:val="clear" w:color="auto" w:fill="FFFFFF"/>
        <w:ind w:firstLine="708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keepNext/>
        <w:shd w:val="clear" w:color="auto" w:fill="FFFFFF"/>
        <w:spacing w:after="0" w:line="240" w:lineRule="auto"/>
        <w:ind w:left="0" w:firstLine="709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Ожидаемые итоги 2026 года.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Производство и распределение электроэнергии, газа и воды.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snapToGrid w:val="0"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данной сфере функционируют такие предприятия как: Филиал АО «Концерн Росэнергоатом» «Ленинградская атомная станция»</w:t>
      </w:r>
      <w:r w:rsidRPr="00D81973">
        <w:rPr>
          <w:snapToGrid w:val="0"/>
          <w:color w:val="000000"/>
          <w:sz w:val="24"/>
          <w:szCs w:val="24"/>
        </w:rPr>
        <w:t xml:space="preserve">; «ЛенАЭР» - филиал </w:t>
      </w:r>
      <w:r w:rsidRPr="00D81973">
        <w:rPr>
          <w:snapToGrid w:val="0"/>
          <w:color w:val="000000"/>
          <w:sz w:val="24"/>
          <w:szCs w:val="24"/>
        </w:rPr>
        <w:br/>
        <w:t>АО «Атомэнергоремонт»; СМУП «Теплоснабжающее предприятие».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snapToGrid w:val="0"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Кроме того, на территории Сосновоборского городского округа осуществляют деятельность</w:t>
      </w:r>
      <w:r w:rsidRPr="00D81973">
        <w:rPr>
          <w:rStyle w:val="ae"/>
          <w:color w:val="000000"/>
          <w:sz w:val="24"/>
          <w:szCs w:val="24"/>
        </w:rPr>
        <w:footnoteReference w:id="1"/>
      </w:r>
      <w:r w:rsidRPr="00D81973">
        <w:rPr>
          <w:color w:val="000000"/>
          <w:sz w:val="24"/>
          <w:szCs w:val="24"/>
        </w:rPr>
        <w:t xml:space="preserve">: АО «ЛОЭСК» - передача электроэнергии и технологическое присоединение  к распределительным электросетям </w:t>
      </w:r>
      <w:r w:rsidRPr="00D81973">
        <w:rPr>
          <w:snapToGrid w:val="0"/>
          <w:color w:val="000000"/>
          <w:sz w:val="24"/>
          <w:szCs w:val="24"/>
        </w:rPr>
        <w:t xml:space="preserve">и ООО «РКС-энерго» – гарантирующий поставщик электроэнергии на территории Ленинградской области -  субъект оптового рынка электрической энергии и мощности в рамках Единой энергетической системы России, который осуществляет покупку электрической энергии на оптовом и розничных рынках электрической энергии и мощности, реализацию конечным потребителям (юридическим и физическим лицам).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По данным предприятий ожидается производство электроэнергии в количестве 31 780,2 млн. кВтч, что на 0,8 % больше, чем в 2025 году (Рисунок 1). 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A77C8C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858385" cy="1774190"/>
            <wp:effectExtent l="0" t="0" r="0" b="0"/>
            <wp:docPr id="2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tabs>
          <w:tab w:val="left" w:pos="720"/>
          <w:tab w:val="left" w:pos="1134"/>
        </w:tabs>
        <w:ind w:firstLine="708"/>
        <w:jc w:val="both"/>
        <w:rPr>
          <w:iCs/>
          <w:color w:val="000000"/>
          <w:sz w:val="24"/>
          <w:szCs w:val="24"/>
        </w:rPr>
      </w:pPr>
      <w:r w:rsidRPr="00D81973">
        <w:rPr>
          <w:iCs/>
          <w:color w:val="000000"/>
          <w:sz w:val="24"/>
          <w:szCs w:val="24"/>
        </w:rPr>
        <w:t xml:space="preserve">В целом по предприятиям промышленности объем отгруженных товаров в 2026 году составит 157,4 млрд. руб., в том числе по отрасли «Обеспечение электроэнергией, газом, паром» - 139,1 млрд. руб. или 107,3 % к уровню 2025 года. </w:t>
      </w:r>
    </w:p>
    <w:p w:rsidR="00D81973" w:rsidRPr="00D81973" w:rsidRDefault="00D81973" w:rsidP="00D81973">
      <w:pPr>
        <w:shd w:val="clear" w:color="auto" w:fill="FFFFFF"/>
        <w:tabs>
          <w:tab w:val="left" w:pos="720"/>
          <w:tab w:val="left" w:pos="1134"/>
        </w:tabs>
        <w:ind w:firstLine="708"/>
        <w:jc w:val="both"/>
        <w:rPr>
          <w:color w:val="000000"/>
          <w:sz w:val="24"/>
          <w:szCs w:val="24"/>
        </w:rPr>
      </w:pPr>
      <w:r w:rsidRPr="00D81973">
        <w:rPr>
          <w:iCs/>
          <w:color w:val="000000"/>
          <w:sz w:val="24"/>
          <w:szCs w:val="24"/>
        </w:rPr>
        <w:t>О</w:t>
      </w:r>
      <w:r w:rsidRPr="00D81973">
        <w:rPr>
          <w:color w:val="000000"/>
          <w:sz w:val="24"/>
          <w:szCs w:val="24"/>
        </w:rPr>
        <w:t xml:space="preserve">бъем отгруженной продукции по крупным и средним организациям в виде экономической деятельности «Обрабатывающие производства» составит 15,2 млрд. руб., что на 29,4 % больше уровня 2025 года в действующих ценах. 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snapToGrid w:val="0"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Объем отгруженных товаров собственного производства, выполненных работ и услуг собственными силами по виду экономической деятельности «Водоснабжение; водоотведение, организация сбора и утилизации отходов, деятельность по ликвидации загрязнений, теплоснабжение» </w:t>
      </w:r>
      <w:r w:rsidRPr="00D81973">
        <w:rPr>
          <w:snapToGrid w:val="0"/>
          <w:color w:val="000000"/>
          <w:sz w:val="24"/>
          <w:szCs w:val="24"/>
        </w:rPr>
        <w:t>по данному виду деятельности</w:t>
      </w:r>
      <w:r w:rsidRPr="00D81973">
        <w:rPr>
          <w:color w:val="000000"/>
          <w:sz w:val="24"/>
          <w:szCs w:val="24"/>
        </w:rPr>
        <w:t xml:space="preserve"> в 2026 году составит</w:t>
      </w:r>
      <w:r w:rsidRPr="00D81973">
        <w:rPr>
          <w:snapToGrid w:val="0"/>
          <w:color w:val="000000"/>
          <w:sz w:val="24"/>
          <w:szCs w:val="24"/>
        </w:rPr>
        <w:t xml:space="preserve"> 3,1 млрд. руб</w:t>
      </w:r>
      <w:r w:rsidRPr="00D81973">
        <w:rPr>
          <w:color w:val="000000"/>
          <w:sz w:val="24"/>
          <w:szCs w:val="24"/>
        </w:rPr>
        <w:t>. в действующих ценах</w:t>
      </w:r>
      <w:r w:rsidRPr="00D81973">
        <w:rPr>
          <w:snapToGrid w:val="0"/>
          <w:color w:val="000000"/>
          <w:sz w:val="24"/>
          <w:szCs w:val="24"/>
        </w:rPr>
        <w:t xml:space="preserve">, что составляет 107,3 % к уровню 2025 года. 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keepNext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Прогноз на 2027-2029 годы.</w:t>
      </w:r>
    </w:p>
    <w:p w:rsidR="00D81973" w:rsidRPr="00D81973" w:rsidRDefault="00D81973" w:rsidP="00D81973">
      <w:pPr>
        <w:pStyle w:val="21"/>
        <w:keepNext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keepNext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iCs/>
          <w:color w:val="000000"/>
          <w:sz w:val="24"/>
          <w:szCs w:val="24"/>
        </w:rPr>
      </w:pPr>
      <w:r w:rsidRPr="00D81973">
        <w:rPr>
          <w:iCs/>
          <w:color w:val="000000"/>
          <w:sz w:val="24"/>
          <w:szCs w:val="24"/>
        </w:rPr>
        <w:t>В целом по предприятиям промышленности объем отгруженных товаров в плановом периоде составит: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snapToGrid w:val="0"/>
          <w:color w:val="000000"/>
          <w:sz w:val="24"/>
          <w:szCs w:val="24"/>
        </w:rPr>
      </w:pPr>
      <w:r w:rsidRPr="00D81973">
        <w:rPr>
          <w:snapToGrid w:val="0"/>
          <w:color w:val="000000"/>
          <w:sz w:val="24"/>
          <w:szCs w:val="24"/>
        </w:rPr>
        <w:t xml:space="preserve">в 2027 году – 157 970,2 млн. руб. или 100,3 % </w:t>
      </w:r>
      <w:r w:rsidRPr="00D81973">
        <w:rPr>
          <w:color w:val="000000"/>
          <w:sz w:val="24"/>
          <w:szCs w:val="24"/>
        </w:rPr>
        <w:t>к предыдущему году;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snapToGrid w:val="0"/>
          <w:color w:val="000000"/>
          <w:sz w:val="24"/>
          <w:szCs w:val="24"/>
        </w:rPr>
      </w:pPr>
      <w:r w:rsidRPr="00D81973">
        <w:rPr>
          <w:snapToGrid w:val="0"/>
          <w:color w:val="000000"/>
          <w:sz w:val="24"/>
          <w:szCs w:val="24"/>
        </w:rPr>
        <w:t>в 2028 году – 160 859,2 млн. руб. или 101,8 % к предыдущему году;</w:t>
      </w:r>
    </w:p>
    <w:p w:rsidR="00D81973" w:rsidRPr="00D81973" w:rsidRDefault="00D81973" w:rsidP="00D81973">
      <w:pPr>
        <w:pStyle w:val="21"/>
        <w:keepNext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snapToGrid w:val="0"/>
          <w:color w:val="000000"/>
          <w:sz w:val="24"/>
          <w:szCs w:val="24"/>
        </w:rPr>
      </w:pPr>
      <w:r w:rsidRPr="00D81973">
        <w:rPr>
          <w:snapToGrid w:val="0"/>
          <w:color w:val="000000"/>
          <w:sz w:val="24"/>
          <w:szCs w:val="24"/>
        </w:rPr>
        <w:t>в 2029 году – 163 438,4 млн. руб. или 101,6 % к предыдущему году.</w:t>
      </w:r>
    </w:p>
    <w:p w:rsidR="00D81973" w:rsidRPr="00D81973" w:rsidRDefault="00D81973" w:rsidP="00D81973">
      <w:pPr>
        <w:pStyle w:val="21"/>
        <w:keepNext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Обеспечение электроэнергией, газом и паром.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snapToGrid w:val="0"/>
          <w:color w:val="000000"/>
          <w:sz w:val="24"/>
          <w:szCs w:val="24"/>
        </w:rPr>
      </w:pPr>
      <w:r w:rsidRPr="00D81973">
        <w:rPr>
          <w:snapToGrid w:val="0"/>
          <w:color w:val="000000"/>
          <w:sz w:val="24"/>
          <w:szCs w:val="24"/>
        </w:rPr>
        <w:t>Объем отгруженной продукции по данным предприятий составит в действующих ценах к ожидаемому уровню предшествующих лет: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snapToGrid w:val="0"/>
          <w:color w:val="000000"/>
          <w:sz w:val="24"/>
          <w:szCs w:val="24"/>
        </w:rPr>
      </w:pPr>
      <w:r w:rsidRPr="00D81973">
        <w:rPr>
          <w:snapToGrid w:val="0"/>
          <w:color w:val="000000"/>
          <w:sz w:val="24"/>
          <w:szCs w:val="24"/>
        </w:rPr>
        <w:t xml:space="preserve">в 2027 году – 138 640,2 млн. руб. или 99,6 % </w:t>
      </w:r>
      <w:r w:rsidRPr="00D81973">
        <w:rPr>
          <w:color w:val="000000"/>
          <w:sz w:val="24"/>
          <w:szCs w:val="24"/>
        </w:rPr>
        <w:t>к предыдущему году;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snapToGrid w:val="0"/>
          <w:color w:val="000000"/>
          <w:sz w:val="24"/>
          <w:szCs w:val="24"/>
        </w:rPr>
      </w:pPr>
      <w:r w:rsidRPr="00D81973">
        <w:rPr>
          <w:snapToGrid w:val="0"/>
          <w:color w:val="000000"/>
          <w:sz w:val="24"/>
          <w:szCs w:val="24"/>
        </w:rPr>
        <w:t>в 2028 году – 139 351,7 млн. руб. или 100,5 % к предыдущему году;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snapToGrid w:val="0"/>
          <w:color w:val="000000"/>
          <w:sz w:val="24"/>
          <w:szCs w:val="24"/>
        </w:rPr>
      </w:pPr>
      <w:r w:rsidRPr="00D81973">
        <w:rPr>
          <w:snapToGrid w:val="0"/>
          <w:color w:val="000000"/>
          <w:sz w:val="24"/>
          <w:szCs w:val="24"/>
        </w:rPr>
        <w:t>в 2029 году – 138 950,4 млн. руб. или   99,7 % к предыдущему году.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snapToGrid w:val="0"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tabs>
          <w:tab w:val="left" w:pos="1134"/>
        </w:tabs>
        <w:jc w:val="both"/>
        <w:rPr>
          <w:snapToGrid w:val="0"/>
          <w:color w:val="000000"/>
          <w:sz w:val="24"/>
          <w:szCs w:val="24"/>
        </w:rPr>
      </w:pPr>
      <w:bookmarkStart w:id="11" w:name="_Toc267584901"/>
      <w:r w:rsidRPr="00D81973">
        <w:rPr>
          <w:snapToGrid w:val="0"/>
          <w:color w:val="000000"/>
          <w:sz w:val="24"/>
          <w:szCs w:val="24"/>
        </w:rPr>
        <w:t>Объем выработанной электроэнергии по данным предприятий составит (Рисунок 2):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9"/>
        <w:jc w:val="both"/>
        <w:rPr>
          <w:snapToGrid w:val="0"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2027 году – 31 171</w:t>
      </w:r>
      <w:r w:rsidRPr="00D81973">
        <w:rPr>
          <w:snapToGrid w:val="0"/>
          <w:color w:val="000000"/>
          <w:sz w:val="24"/>
          <w:szCs w:val="24"/>
        </w:rPr>
        <w:t xml:space="preserve"> млн. кВтч</w:t>
      </w:r>
      <w:r w:rsidRPr="00D81973">
        <w:rPr>
          <w:color w:val="000000"/>
          <w:sz w:val="24"/>
          <w:szCs w:val="24"/>
        </w:rPr>
        <w:t xml:space="preserve">, 98,1 % к предыдущему году; 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2028 году – 31 672 м</w:t>
      </w:r>
      <w:r w:rsidRPr="00D81973">
        <w:rPr>
          <w:snapToGrid w:val="0"/>
          <w:color w:val="000000"/>
          <w:sz w:val="24"/>
          <w:szCs w:val="24"/>
        </w:rPr>
        <w:t>лн. кВтч</w:t>
      </w:r>
      <w:r w:rsidRPr="00D81973">
        <w:rPr>
          <w:color w:val="000000"/>
          <w:sz w:val="24"/>
          <w:szCs w:val="24"/>
        </w:rPr>
        <w:t>, 101,6 % к предыдущему году;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rPr>
          <w:snapToGrid w:val="0"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2029 году – 30 081</w:t>
      </w:r>
      <w:r w:rsidRPr="00D81973">
        <w:rPr>
          <w:snapToGrid w:val="0"/>
          <w:color w:val="000000"/>
          <w:sz w:val="24"/>
          <w:szCs w:val="24"/>
        </w:rPr>
        <w:t xml:space="preserve"> млн. кВтч</w:t>
      </w:r>
      <w:r w:rsidRPr="00D81973">
        <w:rPr>
          <w:color w:val="000000"/>
          <w:sz w:val="24"/>
          <w:szCs w:val="24"/>
        </w:rPr>
        <w:t xml:space="preserve">, 95,0 % к </w:t>
      </w:r>
      <w:r w:rsidRPr="00D81973">
        <w:rPr>
          <w:snapToGrid w:val="0"/>
          <w:color w:val="000000"/>
          <w:sz w:val="24"/>
          <w:szCs w:val="24"/>
        </w:rPr>
        <w:t>уровню ожидаемой величины выработки электроэнергии предыдущего года</w:t>
      </w:r>
      <w:r w:rsidRPr="00D81973">
        <w:rPr>
          <w:color w:val="000000"/>
          <w:sz w:val="24"/>
          <w:szCs w:val="24"/>
        </w:rPr>
        <w:t>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A77C8C" w:rsidP="00D81973">
      <w:pPr>
        <w:shd w:val="clear" w:color="auto" w:fill="FFFFFF"/>
        <w:jc w:val="center"/>
        <w:rPr>
          <w:color w:val="000000"/>
          <w:sz w:val="24"/>
          <w:szCs w:val="24"/>
        </w:rPr>
      </w:pPr>
      <w:r w:rsidRPr="00D81973">
        <w:rPr>
          <w:noProof/>
          <w:color w:val="000000"/>
          <w:sz w:val="24"/>
          <w:szCs w:val="24"/>
        </w:rPr>
        <w:drawing>
          <wp:inline distT="0" distB="0" distL="0" distR="0">
            <wp:extent cx="5267960" cy="1364615"/>
            <wp:effectExtent l="0" t="0" r="0" b="0"/>
            <wp:docPr id="3" name="Объект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81973" w:rsidRPr="00396CFE" w:rsidRDefault="00D81973" w:rsidP="00D81973">
      <w:pPr>
        <w:tabs>
          <w:tab w:val="left" w:pos="720"/>
        </w:tabs>
        <w:suppressAutoHyphens/>
        <w:ind w:right="71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lastRenderedPageBreak/>
        <w:tab/>
      </w:r>
      <w:r w:rsidRPr="00396CFE">
        <w:rPr>
          <w:sz w:val="24"/>
          <w:szCs w:val="24"/>
          <w:lang w:eastAsia="zh-CN"/>
        </w:rPr>
        <w:t>Прогноз выработки электроэнергии на 2027 год рассчитан на основании «Графика ремонта энергоблоков № 3, 4 Ленинградской АЭС и энергоблоков № 1, 2 Ленинградской АЭС-2 в 2027 году» от 02.04.2026 № 9/Ф09050701/8139-ТД, на 2028</w:t>
      </w:r>
      <w:r>
        <w:rPr>
          <w:sz w:val="24"/>
          <w:szCs w:val="24"/>
          <w:lang w:eastAsia="zh-CN"/>
        </w:rPr>
        <w:t xml:space="preserve"> - </w:t>
      </w:r>
      <w:r w:rsidRPr="00396CFE">
        <w:rPr>
          <w:sz w:val="24"/>
          <w:szCs w:val="24"/>
          <w:lang w:eastAsia="zh-CN"/>
        </w:rPr>
        <w:t>2029 годы рассчитан на основании перспективного графика ремонтов энергоблоков АЭС России в 2027</w:t>
      </w:r>
      <w:r>
        <w:rPr>
          <w:sz w:val="24"/>
          <w:szCs w:val="24"/>
          <w:lang w:eastAsia="zh-CN"/>
        </w:rPr>
        <w:t xml:space="preserve"> - </w:t>
      </w:r>
      <w:r w:rsidRPr="00396CFE">
        <w:rPr>
          <w:sz w:val="24"/>
          <w:szCs w:val="24"/>
          <w:lang w:eastAsia="zh-CN"/>
        </w:rPr>
        <w:t>2031 годах от 31.07.2025 № ГР 1.2.2.02.999.010-2025.</w:t>
      </w:r>
    </w:p>
    <w:p w:rsidR="00D81973" w:rsidRPr="00D81973" w:rsidRDefault="00D81973" w:rsidP="00D81973">
      <w:pPr>
        <w:pStyle w:val="ad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D81973">
        <w:rPr>
          <w:color w:val="000000"/>
        </w:rPr>
        <w:t>Ленинградская атомная станция - крупнейший энергетический объект Северо-Западной объединенной энергетической системы, она обеспечивает более 50 % потребления Санкт-Петербурга и Ленинградской области. Доля атомной генерации в ОЭС Северо-Запада, к которой относятся Кольская и Ленинградская АЭС, составляет 35 %.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Ленинградская атомная станция – крупнейший производитель электроэнергии в Северо-Западном регионе России и единственный с двумя типами реакторов: в работе два действующих энергоблока РБМК-1000 (уран-графитовые ядерные реакторы канального типа на тепловых нейтронах электрической мощностью 1000 МВт) и два энергоблока ВВЭР-1200 (водо-водяной энергетический реактор электрической мощностью 1200 МВт).</w:t>
      </w:r>
    </w:p>
    <w:p w:rsidR="00D81973" w:rsidRPr="00D81973" w:rsidRDefault="00D81973" w:rsidP="00D81973">
      <w:pPr>
        <w:pStyle w:val="ad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81973">
        <w:rPr>
          <w:color w:val="000000"/>
        </w:rPr>
        <w:tab/>
        <w:t>По сравнению с традиционными энергоблоками такого же типа проект ВВЭР-1200 обладает рядом преимуществ, существенно повышающих его экономические характеристики и безопасность. Так, мощность реакторной установки по сравнению с предыдущим поколением (ВВЭР-1000) выросла на 20%, количество персонала уменьшено на 30-40%, проектный срок службы основного оборудования увеличен в 2 раза и составляет 60 лет с возможностью продления еще на 20 лет.</w:t>
      </w:r>
    </w:p>
    <w:p w:rsidR="00D81973" w:rsidRPr="00D81973" w:rsidRDefault="00D81973" w:rsidP="00D81973">
      <w:pPr>
        <w:shd w:val="clear" w:color="auto" w:fill="FFFFFF"/>
        <w:tabs>
          <w:tab w:val="left" w:pos="709"/>
        </w:tabs>
        <w:jc w:val="center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Энергоблоки Ленинградской АЭС</w:t>
      </w:r>
      <w:r w:rsidRPr="00D81973">
        <w:rPr>
          <w:rStyle w:val="ae"/>
          <w:color w:val="000000"/>
          <w:sz w:val="24"/>
          <w:szCs w:val="24"/>
        </w:rPr>
        <w:footnoteReference w:id="2"/>
      </w:r>
      <w:r w:rsidRPr="00D81973">
        <w:rPr>
          <w:color w:val="000000"/>
          <w:sz w:val="24"/>
          <w:szCs w:val="24"/>
        </w:rPr>
        <w:t>, суммарная установленная мощность 4 373 МВт</w:t>
      </w:r>
    </w:p>
    <w:tbl>
      <w:tblPr>
        <w:tblW w:w="9567" w:type="dxa"/>
        <w:tblInd w:w="-5" w:type="dxa"/>
        <w:tblLook w:val="04A0" w:firstRow="1" w:lastRow="0" w:firstColumn="1" w:lastColumn="0" w:noHBand="0" w:noVBand="1"/>
      </w:tblPr>
      <w:tblGrid>
        <w:gridCol w:w="1701"/>
        <w:gridCol w:w="1677"/>
        <w:gridCol w:w="2104"/>
        <w:gridCol w:w="1853"/>
        <w:gridCol w:w="2232"/>
      </w:tblGrid>
      <w:tr w:rsidR="00D81973" w:rsidRPr="00667059" w:rsidTr="00AA1D5B">
        <w:trPr>
          <w:trHeight w:val="23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6" w:firstLine="26"/>
              <w:rPr>
                <w:b/>
                <w:bCs/>
                <w:color w:val="000000"/>
                <w:sz w:val="16"/>
                <w:szCs w:val="16"/>
              </w:rPr>
            </w:pPr>
            <w:r w:rsidRPr="00D81973">
              <w:rPr>
                <w:b/>
                <w:bCs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161"/>
              <w:rPr>
                <w:b/>
                <w:bCs/>
                <w:color w:val="000000"/>
                <w:sz w:val="16"/>
                <w:szCs w:val="16"/>
              </w:rPr>
            </w:pPr>
            <w:r w:rsidRPr="00D81973">
              <w:rPr>
                <w:b/>
                <w:bCs/>
                <w:color w:val="000000"/>
                <w:sz w:val="16"/>
                <w:szCs w:val="16"/>
              </w:rPr>
              <w:t>ТИП РЕАКТОРА</w:t>
            </w:r>
          </w:p>
        </w:tc>
        <w:tc>
          <w:tcPr>
            <w:tcW w:w="2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161"/>
              <w:rPr>
                <w:b/>
                <w:bCs/>
                <w:color w:val="000000"/>
                <w:sz w:val="16"/>
                <w:szCs w:val="16"/>
              </w:rPr>
            </w:pPr>
            <w:r w:rsidRPr="00D81973">
              <w:rPr>
                <w:b/>
                <w:bCs/>
                <w:color w:val="000000"/>
                <w:sz w:val="16"/>
                <w:szCs w:val="16"/>
              </w:rPr>
              <w:t>УСТАНОВЛЕННАЯ</w:t>
            </w:r>
          </w:p>
        </w:tc>
        <w:tc>
          <w:tcPr>
            <w:tcW w:w="1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161"/>
              <w:rPr>
                <w:b/>
                <w:bCs/>
                <w:color w:val="000000"/>
                <w:sz w:val="16"/>
                <w:szCs w:val="16"/>
              </w:rPr>
            </w:pPr>
            <w:r w:rsidRPr="00D81973">
              <w:rPr>
                <w:b/>
                <w:bCs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161"/>
              <w:rPr>
                <w:b/>
                <w:bCs/>
                <w:color w:val="000000"/>
                <w:sz w:val="16"/>
                <w:szCs w:val="16"/>
              </w:rPr>
            </w:pPr>
            <w:r w:rsidRPr="00D81973">
              <w:rPr>
                <w:b/>
                <w:bCs/>
                <w:color w:val="000000"/>
                <w:sz w:val="16"/>
                <w:szCs w:val="16"/>
              </w:rPr>
              <w:t>ДАТА ЭНЕРГОПУСКА</w:t>
            </w:r>
          </w:p>
        </w:tc>
      </w:tr>
      <w:tr w:rsidR="00D81973" w:rsidRPr="00667059" w:rsidTr="00AA1D5B">
        <w:trPr>
          <w:trHeight w:val="466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6" w:firstLine="26"/>
              <w:rPr>
                <w:b/>
                <w:bCs/>
                <w:color w:val="000000"/>
                <w:sz w:val="16"/>
                <w:szCs w:val="16"/>
              </w:rPr>
            </w:pPr>
            <w:r w:rsidRPr="00D81973">
              <w:rPr>
                <w:b/>
                <w:bCs/>
                <w:color w:val="000000"/>
                <w:sz w:val="16"/>
                <w:szCs w:val="16"/>
              </w:rPr>
              <w:t>ЭНЕРГОБЛОКА</w:t>
            </w:r>
          </w:p>
        </w:tc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161"/>
              <w:rPr>
                <w:b/>
                <w:bCs/>
                <w:color w:val="000000"/>
                <w:sz w:val="16"/>
                <w:szCs w:val="16"/>
              </w:rPr>
            </w:pPr>
            <w:r w:rsidRPr="00D81973">
              <w:rPr>
                <w:b/>
                <w:bCs/>
                <w:color w:val="000000"/>
                <w:sz w:val="16"/>
                <w:szCs w:val="16"/>
              </w:rPr>
              <w:t>МОЩНОСТЬ, МВт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161"/>
              <w:rPr>
                <w:b/>
                <w:bCs/>
                <w:color w:val="000000"/>
                <w:sz w:val="16"/>
                <w:szCs w:val="16"/>
              </w:rPr>
            </w:pPr>
            <w:r w:rsidRPr="00D81973">
              <w:rPr>
                <w:b/>
                <w:bCs/>
                <w:color w:val="000000"/>
                <w:sz w:val="16"/>
                <w:szCs w:val="16"/>
              </w:rPr>
              <w:t>НАЧАЛА СТРОИТЕЛЬСТВА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161"/>
              <w:rPr>
                <w:b/>
                <w:bCs/>
                <w:color w:val="000000"/>
                <w:sz w:val="16"/>
                <w:szCs w:val="16"/>
              </w:rPr>
            </w:pPr>
            <w:r w:rsidRPr="00D81973">
              <w:rPr>
                <w:b/>
                <w:bCs/>
                <w:color w:val="000000"/>
                <w:sz w:val="16"/>
                <w:szCs w:val="16"/>
              </w:rPr>
              <w:t>(ОСТАНОВА)</w:t>
            </w:r>
          </w:p>
        </w:tc>
      </w:tr>
      <w:tr w:rsidR="00D81973" w:rsidRPr="00667059" w:rsidTr="00AA1D5B">
        <w:trPr>
          <w:trHeight w:val="611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РБМК-1000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23.12.1973 (21.12.2018)</w:t>
            </w:r>
          </w:p>
        </w:tc>
      </w:tr>
      <w:tr w:rsidR="00D81973" w:rsidRPr="00667059" w:rsidTr="00AA1D5B">
        <w:trPr>
          <w:trHeight w:val="611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РБМК-1000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04.10.1975 (10.11.2020)</w:t>
            </w:r>
          </w:p>
        </w:tc>
      </w:tr>
      <w:tr w:rsidR="00D81973" w:rsidRPr="00667059" w:rsidTr="00AA1D5B">
        <w:trPr>
          <w:trHeight w:val="30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РБМК-1000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07.12.1979</w:t>
            </w:r>
          </w:p>
        </w:tc>
      </w:tr>
      <w:tr w:rsidR="00D81973" w:rsidRPr="00667059" w:rsidTr="00AA1D5B">
        <w:trPr>
          <w:trHeight w:val="30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РБМК-1000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09.02.1981</w:t>
            </w:r>
          </w:p>
        </w:tc>
      </w:tr>
      <w:tr w:rsidR="00D81973" w:rsidRPr="00667059" w:rsidTr="00AA1D5B">
        <w:trPr>
          <w:trHeight w:val="30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ВВЭР-1200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1187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2008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09.03.2018</w:t>
            </w:r>
          </w:p>
        </w:tc>
      </w:tr>
      <w:tr w:rsidR="00D81973" w:rsidRPr="00667059" w:rsidTr="00AA1D5B">
        <w:trPr>
          <w:trHeight w:val="30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ВВЭР-1200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1188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2010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22.10.2020</w:t>
            </w:r>
          </w:p>
        </w:tc>
      </w:tr>
      <w:tr w:rsidR="00D81973" w:rsidRPr="00667059" w:rsidTr="00AA1D5B">
        <w:trPr>
          <w:trHeight w:val="30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ВВЭР-1200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81973" w:rsidRPr="00667059" w:rsidTr="00AA1D5B">
        <w:trPr>
          <w:trHeight w:val="30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ВВЭР-1200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ind w:firstLineChars="100" w:firstLine="240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81973" w:rsidRPr="00667059" w:rsidTr="00AA1D5B">
        <w:trPr>
          <w:trHeight w:val="713"/>
        </w:trPr>
        <w:tc>
          <w:tcPr>
            <w:tcW w:w="95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D81973" w:rsidRPr="00D81973" w:rsidRDefault="00D81973" w:rsidP="00D81973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81973">
        <w:rPr>
          <w:color w:val="000000"/>
        </w:rPr>
        <w:t xml:space="preserve">Ленинградская АЭС является основным поставщиком тепловой энергии для населения </w:t>
      </w:r>
      <w:r w:rsidRPr="00D81973">
        <w:rPr>
          <w:color w:val="000000"/>
        </w:rPr>
        <w:br/>
        <w:t>и промышленных предприятий г. Сосновый Бор.</w:t>
      </w:r>
    </w:p>
    <w:p w:rsidR="00D81973" w:rsidRPr="00D81973" w:rsidRDefault="00D81973" w:rsidP="00D81973">
      <w:pPr>
        <w:shd w:val="clear" w:color="auto" w:fill="FFFFFF"/>
        <w:contextualSpacing/>
        <w:jc w:val="both"/>
        <w:textAlignment w:val="baseline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ab/>
        <w:t xml:space="preserve">Атомная станция – социально-ответственное предприятие, которое не только гарантированно вырабатывает электроэнергию, но и снабжает питьевой водой жителей Соснового Бора, промышленные предприятия, культурные и медицинские учреждения, школы и детские сады. Решением АО «Концерн «Росэнергоатом» на ЛАЭС планируется полная реконструкция очистных сооружений основного и резервного источников водоснабжения на реках Систа и Коваши. </w:t>
      </w:r>
    </w:p>
    <w:p w:rsidR="00D81973" w:rsidRPr="00D81973" w:rsidRDefault="00D81973" w:rsidP="00D81973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 w:rsidRPr="00D81973">
        <w:rPr>
          <w:color w:val="000000"/>
        </w:rPr>
        <w:t>Уникальные возможности канальных реакторов позволили внедрить на станции технологии радиационной обработки материалов, а также производство дополнительной продукции в виде медицинских и общепромышленных радиохимических изотопов.</w:t>
      </w:r>
    </w:p>
    <w:p w:rsidR="00D81973" w:rsidRPr="00D81973" w:rsidRDefault="00D81973" w:rsidP="00D81973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81973">
        <w:rPr>
          <w:color w:val="000000"/>
          <w:shd w:val="clear" w:color="auto" w:fill="FFFFFF"/>
        </w:rPr>
        <w:lastRenderedPageBreak/>
        <w:t>Ещё одним направлением деятельности Ленинградской АЭС является радиационное легирование слитков монокристаллического кремния. Такой кремний находит широкое применение в высоковольтной силовой электронике (диоды, тиристоры).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20"/>
        <w:jc w:val="both"/>
        <w:rPr>
          <w:snapToGrid w:val="0"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Деятельность «Ленатомэнергоремонт» филиала АО «Атомэнергоремонт» направлена на поддержание работоспособности основного и вспомогательного оборудования Ленинградской АЭС, его ремонт и модернизацию для обеспечения безопасности работы атомной станции. 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20"/>
        <w:jc w:val="both"/>
        <w:rPr>
          <w:snapToGrid w:val="0"/>
          <w:color w:val="000000"/>
          <w:sz w:val="24"/>
          <w:szCs w:val="24"/>
        </w:rPr>
      </w:pPr>
      <w:r w:rsidRPr="00D81973">
        <w:rPr>
          <w:snapToGrid w:val="0"/>
          <w:color w:val="000000"/>
          <w:sz w:val="24"/>
          <w:szCs w:val="24"/>
        </w:rPr>
        <w:t xml:space="preserve">СМУП «Теплоснабжающее предприятие» (далее – СМУП «ТСП») обеспечивает теплоснабжение муниципального образования Сосновоборский городской округ. Абонентами потребления тепловой энергии, в том числе горячей воды, являются жители города, предприятия и организации городской и промышленной зоны. 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08"/>
        <w:jc w:val="both"/>
        <w:rPr>
          <w:color w:val="000000"/>
          <w:sz w:val="24"/>
          <w:szCs w:val="24"/>
        </w:rPr>
      </w:pPr>
      <w:r w:rsidRPr="00D81973">
        <w:rPr>
          <w:snapToGrid w:val="0"/>
          <w:color w:val="000000"/>
          <w:sz w:val="24"/>
          <w:szCs w:val="24"/>
        </w:rPr>
        <w:t xml:space="preserve">Тепловая энергия, в основном, поступает от ЛАЭС. </w:t>
      </w:r>
      <w:r w:rsidRPr="00D81973">
        <w:rPr>
          <w:color w:val="000000"/>
          <w:sz w:val="24"/>
          <w:szCs w:val="24"/>
        </w:rPr>
        <w:t xml:space="preserve">Выработка тепловой энергии планируется в размере 915,6 тыс. Гкал в 2026 году и по 896,73 тыс. Гкал в 2027-2029 годах. Отпуск тепловой энергии основного поставщика потребителям </w:t>
      </w:r>
      <w:r w:rsidRPr="00D81973">
        <w:rPr>
          <w:snapToGrid w:val="0"/>
          <w:color w:val="000000"/>
          <w:sz w:val="24"/>
          <w:szCs w:val="24"/>
        </w:rPr>
        <w:t xml:space="preserve">в </w:t>
      </w:r>
      <w:r w:rsidRPr="00D81973">
        <w:rPr>
          <w:color w:val="000000"/>
          <w:sz w:val="24"/>
          <w:szCs w:val="24"/>
        </w:rPr>
        <w:t>2027-2029 годах будет составлять 81,0 % её выработки.</w:t>
      </w:r>
    </w:p>
    <w:p w:rsidR="00D81973" w:rsidRPr="00D81973" w:rsidRDefault="00D81973" w:rsidP="00D81973">
      <w:pPr>
        <w:shd w:val="clear" w:color="auto" w:fill="FFFFFF"/>
        <w:tabs>
          <w:tab w:val="left" w:pos="1134"/>
        </w:tabs>
        <w:ind w:firstLine="720"/>
        <w:jc w:val="both"/>
        <w:rPr>
          <w:snapToGrid w:val="0"/>
          <w:color w:val="000000"/>
          <w:sz w:val="24"/>
          <w:szCs w:val="24"/>
        </w:rPr>
      </w:pPr>
      <w:r w:rsidRPr="00D81973">
        <w:rPr>
          <w:snapToGrid w:val="0"/>
          <w:color w:val="000000"/>
          <w:sz w:val="24"/>
          <w:szCs w:val="24"/>
        </w:rPr>
        <w:t xml:space="preserve">Объем отгруженных товаров в виде деятельности «Обрабатывающие производства» планируется от 16,1 </w:t>
      </w:r>
      <w:r w:rsidRPr="00D81973">
        <w:rPr>
          <w:color w:val="000000"/>
          <w:sz w:val="24"/>
          <w:szCs w:val="24"/>
        </w:rPr>
        <w:t xml:space="preserve">млрд. руб. </w:t>
      </w:r>
      <w:r w:rsidRPr="00D81973">
        <w:rPr>
          <w:snapToGrid w:val="0"/>
          <w:color w:val="000000"/>
          <w:sz w:val="24"/>
          <w:szCs w:val="24"/>
        </w:rPr>
        <w:t xml:space="preserve">в </w:t>
      </w:r>
      <w:r w:rsidRPr="00D81973">
        <w:rPr>
          <w:color w:val="000000"/>
          <w:sz w:val="24"/>
          <w:szCs w:val="24"/>
        </w:rPr>
        <w:t>2027 году до 21,1 млрд. руб. в 2029 году.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К организациям этого вида деятельности относятся: ООО «СММ-ТЯЖМАШ», ОАО «УПП», ООО «Абразивные технологии», ООО «СМЗ», ООО «РусЭнерго», ООО «ТИТАН ТЕХНОЛОДЖИ ПАЙПЛАН», Филиал АО «ЦКБМ» - «ЦКБМ 2»</w:t>
      </w:r>
      <w:r w:rsidRPr="00D81973">
        <w:rPr>
          <w:rStyle w:val="ae"/>
          <w:color w:val="000000"/>
          <w:sz w:val="24"/>
          <w:szCs w:val="24"/>
        </w:rPr>
        <w:footnoteReference w:id="3"/>
      </w:r>
      <w:r w:rsidRPr="00D81973">
        <w:rPr>
          <w:color w:val="000000"/>
          <w:sz w:val="24"/>
          <w:szCs w:val="24"/>
        </w:rPr>
        <w:t>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Мощный интеллектуальный и производственно-технический потенциал комплекса «СММ-ТЯЖМАШ», являющегося центром тяжелого краностроения в Ленинградской области и в России, позволяет изготавливать тяжелую грузоподъемную технику, отличающуюся высоким качеством, надежностью, долгим сроком эксплуатации и ремонтопригодностью. 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течение 2027-2029 годов развитие предприятия будет достигаться за счёт инвестиций, в том числе: приобретения дополнительного оборудования, ремонта и реконструкции зданий и сооружений, нового строительства; кроме того, планируется увеличение объемов производства согласно разработанного плана мероприятий, который предусматривает увеличение численности рабочих и ИТР.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ab/>
        <w:t>Объем отгруженных товаров собственного производства, выполненных работ и услуг собственными силами по виду экономической деятельности «Водоснабжение; водоотведение, организация сбора и утилизации отходов, деятельность по ликвидации загрязнений» и организаций, осуществляющих теплоснабжение, прогнозируется с ростом</w:t>
      </w:r>
      <w:r w:rsidRPr="00D81973">
        <w:rPr>
          <w:snapToGrid w:val="0"/>
          <w:color w:val="000000"/>
          <w:sz w:val="24"/>
          <w:szCs w:val="24"/>
        </w:rPr>
        <w:t xml:space="preserve"> от 3210 млн. руб. до 3401 млн. руб</w:t>
      </w:r>
      <w:r w:rsidRPr="00D81973">
        <w:rPr>
          <w:color w:val="000000"/>
          <w:sz w:val="24"/>
          <w:szCs w:val="24"/>
        </w:rPr>
        <w:t>. в 2027-2029 годах соответственно. В данном виде деятельности функционируют: ООО «Водоканал», СМУП «Водоканал», АО «Экомет-С»,  Филиал ООО «Атомтеплоэлектросеть», Ленинградское отделение филиала «Северо-Западный территориальный округ» ФГУП «РАДОН»</w:t>
      </w:r>
      <w:r w:rsidRPr="00D81973">
        <w:rPr>
          <w:rStyle w:val="ae"/>
          <w:color w:val="000000"/>
          <w:sz w:val="24"/>
          <w:szCs w:val="24"/>
        </w:rPr>
        <w:footnoteReference w:id="4"/>
      </w:r>
      <w:r w:rsidRPr="00D81973">
        <w:rPr>
          <w:color w:val="000000"/>
          <w:sz w:val="24"/>
          <w:szCs w:val="24"/>
        </w:rPr>
        <w:t>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Основным видом деятельности АО «Экомет-С» является оказание услуг по переработке и утилизации металлических отходов, загрязненных радиоактивными веществами (МОЗРВ), поступающих с объектов атомной энергетики, в целях уменьшения объема ТРО, направляемых на долговременное хранение (захоронение), и возврата металла в промышленность для неограниченного использования.   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Филиал ООО «АтомТеплоЭлектроСеть» в г. Сосновый Бор (далее - Филиал) осуществляет деятельность в сфере водоснабжения на территории Сосновоборского городского округа и Копорского сельского поселения Ломоносовского муниципального района Ленинградской области, подавая абонентам через присоединенную водопроводную сеть из централизованных систем холодного водоснабжения холодную (питьевую) воду; в сфере водоотведения на территории Сосновоборского городского округа Ленинградской </w:t>
      </w:r>
      <w:r w:rsidRPr="00D81973">
        <w:rPr>
          <w:color w:val="000000"/>
          <w:sz w:val="24"/>
          <w:szCs w:val="24"/>
        </w:rPr>
        <w:lastRenderedPageBreak/>
        <w:t>области, осуществляя прием сточных вод абонентов в централизованную систему водоотведения и обеспечивая их транспортировку до городских очистных сооружений ООО «ВОДОКАНАЛ» и в сфере теплоснабжения, оказывая услуги по передаче тепловой энергии от Ленинградской АЭС.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Филиал осуществляет свою деятельность в сфере водоснабжения и водоотведения, теплоснабжения с использованием объектов, эксплуатируемых на основании долгосрочного договора аренды, заключенного с филиалом АО «Концерн Росэнергоатом» «Ленинградская атомная станция».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Филиал является гарантирующей организацией в сфере холодного водоснабжения и водоотведения на территории Сосновоборского городского округа.  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Филиал не является единой теплоснабжающей организацией.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Развитие централизованных систем холодного водоснабжения и водоотведения Сосновоборского городского округа осуществляется в соответствии с актуализированными схемами водоснабжения и водоотведения на период до 2048 года. 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Развитие тепловых сетей Сосновоборского городского округа осуществляется в соответствии с актуализированной схемой теплоснабжения на период до 2032 года.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12" w:name="_Toc242279718"/>
      <w:r w:rsidRPr="00D81973">
        <w:rPr>
          <w:color w:val="000000"/>
          <w:szCs w:val="24"/>
        </w:rPr>
        <w:t>1.3. Транспорт</w:t>
      </w:r>
      <w:bookmarkEnd w:id="12"/>
    </w:p>
    <w:p w:rsidR="00D81973" w:rsidRPr="00D81973" w:rsidRDefault="00D81973" w:rsidP="00D81973">
      <w:pPr>
        <w:pStyle w:val="21"/>
        <w:keepNext/>
        <w:shd w:val="clear" w:color="auto" w:fill="FFFFFF"/>
        <w:spacing w:after="0" w:line="24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shd w:val="clear" w:color="auto" w:fill="FFFFFF"/>
        <w:spacing w:after="0"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Ожидаемые итоги 2026 года.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Протяженность автомобильных дорог общего пользования местного значения муниципального образования Сосновоборский городской округ на конец года составит 72,47 км, в том числе 61,08 км с твёрдым покрытием.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1973">
        <w:rPr>
          <w:color w:val="000000"/>
          <w:sz w:val="24"/>
          <w:szCs w:val="24"/>
          <w:shd w:val="clear" w:color="auto" w:fill="FFFFFF"/>
        </w:rPr>
        <w:t>Пассажирские перевозки в течение 2026 года выполняют четыре транспортные компании:</w:t>
      </w:r>
    </w:p>
    <w:p w:rsidR="00D81973" w:rsidRPr="00D81973" w:rsidRDefault="00D81973" w:rsidP="00D81973">
      <w:pPr>
        <w:shd w:val="clear" w:color="auto" w:fill="FFFFFF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81973">
        <w:rPr>
          <w:color w:val="000000"/>
          <w:sz w:val="24"/>
          <w:szCs w:val="24"/>
          <w:shd w:val="clear" w:color="auto" w:fill="FFFFFF"/>
        </w:rPr>
        <w:t xml:space="preserve">- на </w:t>
      </w:r>
      <w:r w:rsidRPr="00D81973">
        <w:rPr>
          <w:color w:val="000000"/>
          <w:sz w:val="24"/>
          <w:szCs w:val="24"/>
        </w:rPr>
        <w:t xml:space="preserve">муниципальных маршрутах – ООО </w:t>
      </w:r>
      <w:r w:rsidRPr="00D81973">
        <w:rPr>
          <w:color w:val="000000"/>
          <w:sz w:val="24"/>
          <w:szCs w:val="24"/>
          <w:shd w:val="clear" w:color="auto" w:fill="FFFFFF"/>
        </w:rPr>
        <w:t xml:space="preserve">«Ленинградская АЭС-Авто» (10 маршрутов), </w:t>
      </w:r>
      <w:r w:rsidRPr="00D81973">
        <w:rPr>
          <w:color w:val="000000"/>
          <w:sz w:val="24"/>
          <w:szCs w:val="24"/>
          <w:shd w:val="clear" w:color="auto" w:fill="FFFFFF"/>
        </w:rPr>
        <w:br/>
        <w:t>ООО «ЭлесТранс» (5 маршрутов);</w:t>
      </w:r>
    </w:p>
    <w:p w:rsidR="00D81973" w:rsidRPr="00D81973" w:rsidRDefault="00D81973" w:rsidP="00D81973">
      <w:pPr>
        <w:shd w:val="clear" w:color="auto" w:fill="FFFFFF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81973">
        <w:rPr>
          <w:color w:val="000000"/>
          <w:sz w:val="24"/>
          <w:szCs w:val="24"/>
          <w:shd w:val="clear" w:color="auto" w:fill="FFFFFF"/>
        </w:rPr>
        <w:t xml:space="preserve">- на межмуниципальных - </w:t>
      </w:r>
      <w:r w:rsidRPr="00D81973">
        <w:rPr>
          <w:color w:val="000000"/>
          <w:sz w:val="24"/>
          <w:szCs w:val="24"/>
        </w:rPr>
        <w:t xml:space="preserve">ООО </w:t>
      </w:r>
      <w:r w:rsidRPr="00D81973">
        <w:rPr>
          <w:color w:val="000000"/>
          <w:sz w:val="24"/>
          <w:szCs w:val="24"/>
          <w:shd w:val="clear" w:color="auto" w:fill="FFFFFF"/>
        </w:rPr>
        <w:t>«Ленинградская АЭС-Авто», ООО «Пальмира», ООО «АВТО БАС».</w:t>
      </w:r>
    </w:p>
    <w:p w:rsidR="00D81973" w:rsidRPr="00D81973" w:rsidRDefault="00D81973" w:rsidP="00D81973">
      <w:pPr>
        <w:shd w:val="clear" w:color="auto" w:fill="FFFFFF"/>
        <w:ind w:firstLine="709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  <w:shd w:val="clear" w:color="auto" w:fill="FFFFFF"/>
        </w:rPr>
        <w:t xml:space="preserve">Всего на территории Сосновоборского городского округа пассажирские перевозки осуществляются по 15 муниципальным маршрутам и по 9 межмуниципальным маршрутам, </w:t>
      </w:r>
      <w:r w:rsidRPr="00D81973">
        <w:rPr>
          <w:color w:val="000000"/>
          <w:sz w:val="24"/>
          <w:szCs w:val="24"/>
        </w:rPr>
        <w:t>кроме того малые предприятия и индивидуальные предприниматели осуществляют услуги такси.</w:t>
      </w:r>
    </w:p>
    <w:p w:rsidR="00D81973" w:rsidRPr="00D81973" w:rsidRDefault="00D81973" w:rsidP="00D81973">
      <w:pPr>
        <w:shd w:val="clear" w:color="auto" w:fill="FFFFFF"/>
        <w:tabs>
          <w:tab w:val="center" w:pos="4677"/>
          <w:tab w:val="right" w:pos="9355"/>
        </w:tabs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По пассажирским перевозкам по муниципальным маршрутам планируется проведение конкурсов:</w:t>
      </w:r>
    </w:p>
    <w:p w:rsidR="00D81973" w:rsidRPr="00D81973" w:rsidRDefault="00D81973" w:rsidP="00D81973">
      <w:pPr>
        <w:shd w:val="clear" w:color="auto" w:fill="FFFFFF"/>
        <w:tabs>
          <w:tab w:val="center" w:pos="4677"/>
          <w:tab w:val="right" w:pos="9355"/>
        </w:tabs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 2026 году на 2027 год на перевозки по маршрутам № 20; № 21; № 22; № 23; 24 и далее ежегодно;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 2026 году по маршрутам № 2; 3; 4; 5; 6; 7; 10А; 11; 12; 15 сроком на 2 года.</w:t>
      </w:r>
    </w:p>
    <w:p w:rsidR="00D81973" w:rsidRPr="00D81973" w:rsidRDefault="00D81973" w:rsidP="00D81973">
      <w:pPr>
        <w:pStyle w:val="21"/>
        <w:keepNext/>
        <w:shd w:val="clear" w:color="auto" w:fill="FFFFFF"/>
        <w:spacing w:after="0"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keepNext/>
        <w:shd w:val="clear" w:color="auto" w:fill="FFFFFF"/>
        <w:spacing w:after="0"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Прогноз на 2027-2029 годы.</w:t>
      </w:r>
    </w:p>
    <w:p w:rsidR="00D81973" w:rsidRPr="00D81973" w:rsidRDefault="00D81973" w:rsidP="00D81973">
      <w:pPr>
        <w:pStyle w:val="a3"/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Протяженность автомобильных дорог общего пользования местного значения муниципального образования Сосновоборский городской округ в течение трёхлетнего планового периода составит по 74,97 км ежегодно, в том числе 63,58 км с твёрдым покрытием.</w:t>
      </w:r>
    </w:p>
    <w:p w:rsidR="00D81973" w:rsidRPr="00D81973" w:rsidRDefault="00D81973" w:rsidP="00D81973">
      <w:pPr>
        <w:shd w:val="clear" w:color="auto" w:fill="FFFFFF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81973">
        <w:rPr>
          <w:color w:val="000000"/>
          <w:sz w:val="24"/>
          <w:szCs w:val="24"/>
          <w:shd w:val="clear" w:color="auto" w:fill="FFFFFF"/>
        </w:rPr>
        <w:t>В 2027 году планируется организация муниципального маршрута № 25 (до кладбища Воронка-3).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13" w:name="_Toc242279719"/>
      <w:r w:rsidRPr="00D81973">
        <w:rPr>
          <w:snapToGrid w:val="0"/>
          <w:color w:val="000000"/>
          <w:szCs w:val="24"/>
        </w:rPr>
        <w:t xml:space="preserve">1.4. </w:t>
      </w:r>
      <w:r w:rsidRPr="00D81973">
        <w:rPr>
          <w:color w:val="000000"/>
          <w:szCs w:val="24"/>
        </w:rPr>
        <w:t>Потребительский рынок товаров и услуг</w:t>
      </w:r>
      <w:bookmarkEnd w:id="13"/>
    </w:p>
    <w:p w:rsidR="00D81973" w:rsidRPr="00D81973" w:rsidRDefault="00D81973" w:rsidP="00D81973">
      <w:pPr>
        <w:pStyle w:val="21"/>
        <w:keepNext/>
        <w:shd w:val="clear" w:color="auto" w:fill="FFFFFF"/>
        <w:spacing w:after="0" w:line="240" w:lineRule="auto"/>
        <w:ind w:left="0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keepNext/>
        <w:shd w:val="clear" w:color="auto" w:fill="FFFFFF"/>
        <w:spacing w:after="0"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Ожидаемые итоги 2026 года.</w:t>
      </w:r>
    </w:p>
    <w:p w:rsidR="00D81973" w:rsidRPr="00D81973" w:rsidRDefault="00D81973" w:rsidP="00D81973">
      <w:pPr>
        <w:pStyle w:val="211"/>
        <w:widowControl w:val="0"/>
        <w:shd w:val="clear" w:color="auto" w:fill="FFFFFF"/>
        <w:ind w:firstLine="708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Прогноз оборота розничной торговли в 2026 году (по крупным и средним </w:t>
      </w:r>
      <w:r w:rsidRPr="00D81973">
        <w:rPr>
          <w:color w:val="000000"/>
          <w:szCs w:val="24"/>
        </w:rPr>
        <w:lastRenderedPageBreak/>
        <w:t xml:space="preserve">предприятиям) ожидается в объеме 17 850,0 млн. руб. или 106,2 % к уровню 2025 года. </w:t>
      </w:r>
      <w:r w:rsidRPr="00D81973">
        <w:rPr>
          <w:bCs/>
          <w:color w:val="000000"/>
          <w:szCs w:val="24"/>
        </w:rPr>
        <w:t>Помимо роста основных показателей развитию отрасли будет способствовать резервирование земельных участков для размещения нестационарных объектов торговли.</w:t>
      </w:r>
    </w:p>
    <w:p w:rsidR="00D81973" w:rsidRPr="00D81973" w:rsidRDefault="00D81973" w:rsidP="00D81973">
      <w:pPr>
        <w:pStyle w:val="a9"/>
        <w:shd w:val="clear" w:color="auto" w:fill="FFFFFF"/>
        <w:ind w:firstLine="708"/>
        <w:rPr>
          <w:color w:val="000000"/>
          <w:spacing w:val="1"/>
          <w:szCs w:val="24"/>
          <w:shd w:val="clear" w:color="auto" w:fill="FFFFFF"/>
        </w:rPr>
      </w:pPr>
      <w:r w:rsidRPr="00D81973">
        <w:rPr>
          <w:bCs/>
          <w:color w:val="000000"/>
          <w:szCs w:val="24"/>
        </w:rPr>
        <w:t xml:space="preserve">Объем платных услуг населению прогнозируется в 2026 году в объеме 1470,0 млн. руб. или 107,1 % к уровню 2025 года. </w:t>
      </w:r>
      <w:r w:rsidRPr="00D81973">
        <w:rPr>
          <w:color w:val="000000"/>
          <w:szCs w:val="24"/>
        </w:rPr>
        <w:t xml:space="preserve">В прогнозируемом периоде ожидается плавный рост объема платных услуг, оказываемых населению. </w:t>
      </w:r>
      <w:r w:rsidRPr="00D81973">
        <w:rPr>
          <w:bCs/>
          <w:color w:val="000000"/>
          <w:szCs w:val="24"/>
        </w:rPr>
        <w:t>Помимо роста основных показателей</w:t>
      </w:r>
      <w:r w:rsidRPr="00D81973">
        <w:rPr>
          <w:color w:val="000000"/>
          <w:spacing w:val="1"/>
          <w:szCs w:val="24"/>
          <w:shd w:val="clear" w:color="auto" w:fill="FFFFFF"/>
        </w:rPr>
        <w:t xml:space="preserve"> позитивные процессы сферы услуг будут осуществляться за счет формирования спектра перспективных услуг, ввода в действие предприятий и организаций по оказанию услуг, отвечающих необходимым требованиям и условиям законодательства, запросам населения, частного инвестирования.</w:t>
      </w:r>
    </w:p>
    <w:p w:rsidR="00D81973" w:rsidRPr="00D81973" w:rsidRDefault="00D81973" w:rsidP="00D81973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top"/>
        <w:rPr>
          <w:color w:val="000000"/>
        </w:rPr>
      </w:pPr>
      <w:r w:rsidRPr="00D81973">
        <w:rPr>
          <w:bCs/>
          <w:color w:val="000000"/>
        </w:rPr>
        <w:t xml:space="preserve">Оборот общественного питания прогнозируется в объёме </w:t>
      </w:r>
      <w:r w:rsidRPr="00D81973">
        <w:rPr>
          <w:color w:val="000000"/>
        </w:rPr>
        <w:t xml:space="preserve">395,0 </w:t>
      </w:r>
      <w:r w:rsidRPr="00D81973">
        <w:rPr>
          <w:bCs/>
          <w:color w:val="000000"/>
        </w:rPr>
        <w:t xml:space="preserve">млн. рублей или 103,9 % к уровню предыдущего года. </w:t>
      </w:r>
      <w:r w:rsidRPr="00D81973">
        <w:rPr>
          <w:color w:val="000000"/>
        </w:rPr>
        <w:t>Дальнейшее развитие данной сферы связано с успешным развитием предпринимательства, открытием предприятий системы быстрого питания, тематических кафе, открытием объектов питания в торговых центрах и комплексах.</w:t>
      </w:r>
    </w:p>
    <w:p w:rsidR="00D81973" w:rsidRPr="00D81973" w:rsidRDefault="00D81973" w:rsidP="00D81973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top"/>
        <w:rPr>
          <w:color w:val="000000"/>
        </w:rPr>
      </w:pPr>
    </w:p>
    <w:p w:rsidR="00D81973" w:rsidRPr="00D81973" w:rsidRDefault="00D81973" w:rsidP="00D81973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top"/>
        <w:rPr>
          <w:b/>
          <w:bCs/>
          <w:color w:val="000000"/>
        </w:rPr>
      </w:pPr>
      <w:r w:rsidRPr="00D81973">
        <w:rPr>
          <w:b/>
          <w:bCs/>
          <w:color w:val="000000"/>
        </w:rPr>
        <w:t>Прогноз на 2027-2029 годы.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При расчете прогноза развития потребительского рынка на плановый период 2027-2029 годы учитывались следующие тенденции: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расширение торговой сети, в том числе за счет открытия магазинов шаговой доступности, открытие предприятий торговли и общественного питания в цокольных и первых этажах многоэтажных зданий;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размещение нестационарных торговых объектов в соответствии со Схемой размещения НТО;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развитие рынка платных услуг за счет роста сети предприятий частной формы собственности, оказание новых видов услуг, повышение цен и тарифов на услуги, стагнация роста денежных доходов населения.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Приоритетным направлением в работе предприятий потребительского рынка по-прежнему остается своевременное удовлетворение спроса населения на потребительские товары и услуги, повышение качества обслуживания, формирование современной инфраструктуры розничной торговли, общественного питания и бытового обслуживания населения, создание новых рабочих мест.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Оборот розничной торговли прогнозируется в объеме (в действующих ценах):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2027 году – 19046,0 млн. руб. или 106,7 % к предыдущему году;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2028 году – 20379,2 млн. руб. или 107,0 % к предыдущему году;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2029 году – 21907,6 млн. руб. или 107,5 % к предыдущему году.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Объем платных услуг населению по прогнозу составит (в действующих ценах):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2027 году – 1577,3 млн. руб. или 107,3 % к уровню предыдущего года;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2028 году – 1695,6 млн. руб. или 107,5 % к уровню предыдущего года;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2029 году – 1831,3 млн. руб. или 108,0 % к уровню предыдущего года.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Оборот общественного питания прогнозируется в объеме (в действующих ценах):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2027 году – 410,8 млн. руб. или 104,0 % к уровню предыдущего года;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2028 году – 431,3 млн. руб. или 105,0 % к уровню предыдущего года;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2029 году – 455,1 млн. руб. или 105,5 % к уровню предыдущего года.</w:t>
      </w:r>
    </w:p>
    <w:p w:rsidR="00D81973" w:rsidRPr="00D81973" w:rsidRDefault="00D81973" w:rsidP="00D81973">
      <w:pPr>
        <w:shd w:val="clear" w:color="auto" w:fill="FFFFFF"/>
        <w:ind w:left="851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14" w:name="_Toc242279720"/>
      <w:r w:rsidRPr="00D81973">
        <w:rPr>
          <w:snapToGrid w:val="0"/>
          <w:color w:val="000000"/>
          <w:szCs w:val="24"/>
        </w:rPr>
        <w:t>1.5. Малое и среднее предпринимательство</w:t>
      </w:r>
      <w:bookmarkEnd w:id="14"/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aff2"/>
        <w:shd w:val="clear" w:color="auto" w:fill="FFFFFF"/>
        <w:spacing w:line="360" w:lineRule="auto"/>
        <w:ind w:left="0" w:firstLine="709"/>
        <w:jc w:val="both"/>
        <w:rPr>
          <w:b/>
          <w:snapToGrid w:val="0"/>
          <w:color w:val="000000"/>
        </w:rPr>
      </w:pPr>
      <w:r w:rsidRPr="00D81973">
        <w:rPr>
          <w:b/>
          <w:snapToGrid w:val="0"/>
          <w:color w:val="000000"/>
        </w:rPr>
        <w:t>Ожидаемые итоги 2026 года</w:t>
      </w:r>
    </w:p>
    <w:p w:rsidR="00D81973" w:rsidRPr="00D81973" w:rsidRDefault="00D81973" w:rsidP="00D81973">
      <w:pPr>
        <w:pStyle w:val="aff2"/>
        <w:shd w:val="clear" w:color="auto" w:fill="FFFFFF"/>
        <w:ind w:left="0" w:firstLine="709"/>
        <w:jc w:val="both"/>
        <w:rPr>
          <w:snapToGrid w:val="0"/>
          <w:color w:val="000000"/>
        </w:rPr>
      </w:pPr>
      <w:r w:rsidRPr="00D81973">
        <w:rPr>
          <w:snapToGrid w:val="0"/>
          <w:color w:val="000000"/>
        </w:rPr>
        <w:t>В 2025 году отмечалась положительная динамика показателей сферы деятельности малого и среднего предпринимательства. Умеренно положительная динамика наблюдается и в 2026 году.</w:t>
      </w:r>
    </w:p>
    <w:p w:rsidR="00D81973" w:rsidRPr="00D81973" w:rsidRDefault="00D81973" w:rsidP="00D81973">
      <w:pPr>
        <w:pStyle w:val="aff2"/>
        <w:shd w:val="clear" w:color="auto" w:fill="FFFFFF"/>
        <w:ind w:left="0" w:firstLine="709"/>
        <w:jc w:val="both"/>
        <w:rPr>
          <w:snapToGrid w:val="0"/>
          <w:color w:val="000000"/>
        </w:rPr>
      </w:pPr>
      <w:r w:rsidRPr="00D81973">
        <w:rPr>
          <w:snapToGrid w:val="0"/>
          <w:color w:val="000000"/>
        </w:rPr>
        <w:t xml:space="preserve">К концу 2026 года ожидается незначительное увеличение количества субъектов средних и малых предприятий, включая микропредприятия (в том числе индивидуальных </w:t>
      </w:r>
      <w:r w:rsidRPr="00D81973">
        <w:rPr>
          <w:snapToGrid w:val="0"/>
          <w:color w:val="000000"/>
        </w:rPr>
        <w:lastRenderedPageBreak/>
        <w:t>предпринимателей) (далее – субъекты МСП). Показатель составит порядка 2 150 субъектов МСП (101,8</w:t>
      </w:r>
      <w:r w:rsidRPr="00D81973">
        <w:rPr>
          <w:snapToGrid w:val="0"/>
          <w:color w:val="000000"/>
          <w:lang w:val="en-US"/>
        </w:rPr>
        <w:t> </w:t>
      </w:r>
      <w:r w:rsidRPr="00D81973">
        <w:rPr>
          <w:snapToGrid w:val="0"/>
          <w:color w:val="000000"/>
        </w:rPr>
        <w:t>% к уровню конца 2025 года). Устойчивость связана с расширением мер поддержки развития предпринимательства – финансовых, консультационных, имущественных услуг, участием в закупках на поставки товаров, выполнение работ, оказание услуг для нужд заказчиков</w:t>
      </w:r>
      <w:r w:rsidRPr="00D81973">
        <w:rPr>
          <w:color w:val="000000"/>
        </w:rPr>
        <w:t xml:space="preserve"> Сосновоборского городского округа, возможностью работать на сниженной налоговой ставке.</w:t>
      </w:r>
    </w:p>
    <w:p w:rsidR="00D81973" w:rsidRPr="00D81973" w:rsidRDefault="00D81973" w:rsidP="00D81973">
      <w:pPr>
        <w:pStyle w:val="aff2"/>
        <w:shd w:val="clear" w:color="auto" w:fill="FFFFFF"/>
        <w:ind w:left="0" w:firstLine="709"/>
        <w:jc w:val="both"/>
        <w:rPr>
          <w:snapToGrid w:val="0"/>
          <w:color w:val="000000"/>
        </w:rPr>
      </w:pPr>
      <w:r w:rsidRPr="00D81973">
        <w:rPr>
          <w:snapToGrid w:val="0"/>
          <w:color w:val="000000"/>
        </w:rPr>
        <w:t xml:space="preserve">Среднесписочная численность работников субъектов МСП увеличится незначительно и составит порядка 13 300 человек (103 % к уровню 2025 года). Это связано с возможностью экономически активного населения трудоустраиваться на крупные предприятия со стабильной высокой заработной платой (задействованных в строительстве </w:t>
      </w:r>
      <w:r w:rsidRPr="00D81973">
        <w:rPr>
          <w:color w:val="000000"/>
        </w:rPr>
        <w:t>замещающих мощностей ЛАЭС-</w:t>
      </w:r>
      <w:r w:rsidRPr="00D81973">
        <w:rPr>
          <w:snapToGrid w:val="0"/>
          <w:color w:val="000000"/>
        </w:rPr>
        <w:t>2 и других строящихся объектов).</w:t>
      </w:r>
    </w:p>
    <w:p w:rsidR="00D81973" w:rsidRPr="00D81973" w:rsidRDefault="00D81973" w:rsidP="00D81973">
      <w:pPr>
        <w:pStyle w:val="aff2"/>
        <w:shd w:val="clear" w:color="auto" w:fill="FFFFFF"/>
        <w:ind w:left="0" w:firstLine="709"/>
        <w:jc w:val="both"/>
        <w:rPr>
          <w:snapToGrid w:val="0"/>
          <w:color w:val="000000"/>
        </w:rPr>
      </w:pPr>
      <w:r w:rsidRPr="00D81973">
        <w:rPr>
          <w:snapToGrid w:val="0"/>
          <w:color w:val="000000"/>
        </w:rPr>
        <w:t>Основными видами экономической деятельности субъектов МСП в Сосновоборском городском округе по состоянию на 01.01.2026 года являются: торговля оптовая и розничная, ремонт автотранспортных средств и мотоциклов (25,8 %); строительство (11,3 %); деятельность по операциям с недвижимым имуществом (10,9 %); деятельность профессиональная, научная и техническая (9,4 %); обрабатывающие производства (7,4 %) от общего количества субъектов МСП (2112 единиц).</w:t>
      </w:r>
    </w:p>
    <w:p w:rsidR="00D81973" w:rsidRPr="00D81973" w:rsidRDefault="00D81973" w:rsidP="00D81973">
      <w:pPr>
        <w:shd w:val="clear" w:color="auto" w:fill="FFFFFF"/>
        <w:spacing w:line="360" w:lineRule="auto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pStyle w:val="aff2"/>
        <w:shd w:val="clear" w:color="auto" w:fill="FFFFFF"/>
        <w:spacing w:line="360" w:lineRule="auto"/>
        <w:ind w:left="0" w:firstLine="709"/>
        <w:jc w:val="both"/>
        <w:rPr>
          <w:snapToGrid w:val="0"/>
          <w:color w:val="000000"/>
        </w:rPr>
      </w:pPr>
      <w:r w:rsidRPr="00D81973">
        <w:rPr>
          <w:b/>
          <w:bCs/>
          <w:color w:val="000000"/>
        </w:rPr>
        <w:t>Прогноз на 2027-2029 годы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период 2027-2029 годов при условии отсутствия сдерживающих факторов развития ожидается увеличение количества субъектов МСП на 4,2 % к уровню 2025 года, что составит порядка 2 200 единиц к концу 2029 года.</w:t>
      </w:r>
    </w:p>
    <w:p w:rsidR="00D81973" w:rsidRPr="00D81973" w:rsidRDefault="00D81973" w:rsidP="00D81973">
      <w:pPr>
        <w:pStyle w:val="aff2"/>
        <w:shd w:val="clear" w:color="auto" w:fill="FFFFFF"/>
        <w:ind w:left="0" w:firstLine="709"/>
        <w:jc w:val="both"/>
        <w:rPr>
          <w:snapToGrid w:val="0"/>
          <w:color w:val="000000"/>
        </w:rPr>
      </w:pPr>
      <w:r w:rsidRPr="00D81973">
        <w:rPr>
          <w:snapToGrid w:val="0"/>
          <w:color w:val="000000"/>
        </w:rPr>
        <w:t xml:space="preserve">Среднесписочная численность работников субъектов МСП к концу 2029 года увеличится на 10 % к уровню 2025 года и составит порядка 14,2 тысячи человек. </w:t>
      </w:r>
    </w:p>
    <w:p w:rsidR="00D81973" w:rsidRPr="00D81973" w:rsidRDefault="00D81973" w:rsidP="00D81973">
      <w:pPr>
        <w:pStyle w:val="2"/>
        <w:shd w:val="clear" w:color="auto" w:fill="FFFFFF"/>
        <w:jc w:val="both"/>
        <w:rPr>
          <w:color w:val="000000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15" w:name="_Toc242279721"/>
      <w:r w:rsidRPr="00D81973">
        <w:rPr>
          <w:color w:val="000000"/>
          <w:szCs w:val="24"/>
        </w:rPr>
        <w:t xml:space="preserve">1.6. </w:t>
      </w:r>
      <w:bookmarkStart w:id="16" w:name="_Toc267584903"/>
      <w:bookmarkEnd w:id="11"/>
      <w:r w:rsidRPr="00D81973">
        <w:rPr>
          <w:color w:val="000000"/>
          <w:szCs w:val="24"/>
        </w:rPr>
        <w:t>Инвестиции</w:t>
      </w:r>
      <w:bookmarkEnd w:id="16"/>
      <w:r w:rsidRPr="00D81973">
        <w:rPr>
          <w:color w:val="000000"/>
          <w:szCs w:val="24"/>
        </w:rPr>
        <w:t xml:space="preserve"> и строительство</w:t>
      </w:r>
      <w:bookmarkEnd w:id="15"/>
    </w:p>
    <w:p w:rsidR="00D81973" w:rsidRPr="00D81973" w:rsidRDefault="00D81973" w:rsidP="00D81973">
      <w:pPr>
        <w:keepNext/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keepNext/>
        <w:shd w:val="clear" w:color="auto" w:fill="FFFFFF"/>
        <w:spacing w:after="0"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Ожидаемые итоги 2026 года.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bCs/>
          <w:color w:val="000000"/>
          <w:sz w:val="24"/>
          <w:szCs w:val="24"/>
        </w:rPr>
        <w:t xml:space="preserve">Объем инвестиций </w:t>
      </w:r>
      <w:r w:rsidRPr="00D81973">
        <w:rPr>
          <w:color w:val="000000"/>
          <w:sz w:val="24"/>
          <w:szCs w:val="24"/>
        </w:rPr>
        <w:t xml:space="preserve">в основной капитал в 2026 году по крупным и средним организациям-инвесторам согласно предварительной оценке составит около 53 771,3 млн. руб., что представляет собой увеличение в 1,6 раза по сравнению с уровнем инвестиций прошлого года. 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noProof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Анализ данных за период с 2023 по 2025 год и ожидаемый результат на конец 2026 года, полученных от организаций, осуществляющих инвестиции в развитие округа, показал, что основной объем капитальных вложений направляется на строительство замещающих мощностей Ленинградской атомной электростанции (Рисунок 3):</w:t>
      </w:r>
    </w:p>
    <w:p w:rsidR="00D81973" w:rsidRPr="00D81973" w:rsidRDefault="00A77C8C" w:rsidP="00D81973">
      <w:pPr>
        <w:shd w:val="clear" w:color="auto" w:fill="FFFFFF"/>
        <w:jc w:val="both"/>
        <w:rPr>
          <w:color w:val="000000"/>
          <w:sz w:val="24"/>
          <w:szCs w:val="24"/>
        </w:rPr>
      </w:pPr>
      <w:r w:rsidRPr="00D81973">
        <w:rPr>
          <w:noProof/>
          <w:color w:val="000000"/>
          <w:sz w:val="24"/>
          <w:szCs w:val="24"/>
        </w:rPr>
        <w:drawing>
          <wp:inline distT="0" distB="0" distL="0" distR="0">
            <wp:extent cx="5963920" cy="2313305"/>
            <wp:effectExtent l="0" t="0" r="0" b="0"/>
            <wp:docPr id="4" name="Объект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>В структуре инвестиций по-прежнему будут доминировать вложения в производственные отрасли, занимающие более 91 % от общего объёма инвестиций в округе. При этом основная доля этих инвестиций приходится на АО «Концерн Росэнергоатом», которое осуществляет инвестиционные проекты в Сосновоборском городском округе, направленные на модернизацию Ленинградской атомной станции и строительство новых энергоблоков.</w:t>
      </w:r>
    </w:p>
    <w:p w:rsidR="00D81973" w:rsidRPr="00D81973" w:rsidRDefault="00D81973" w:rsidP="00D81973">
      <w:pPr>
        <w:shd w:val="clear" w:color="auto" w:fill="FFFFFF"/>
        <w:tabs>
          <w:tab w:val="left" w:pos="0"/>
        </w:tabs>
        <w:spacing w:line="259" w:lineRule="auto"/>
        <w:jc w:val="both"/>
        <w:rPr>
          <w:rFonts w:eastAsia="Calibri"/>
          <w:color w:val="000000"/>
          <w:spacing w:val="-2"/>
          <w:sz w:val="24"/>
          <w:szCs w:val="24"/>
        </w:rPr>
      </w:pPr>
      <w:r w:rsidRPr="00D81973">
        <w:rPr>
          <w:color w:val="000000"/>
          <w:sz w:val="24"/>
          <w:szCs w:val="24"/>
        </w:rPr>
        <w:tab/>
        <w:t xml:space="preserve">Объем выполненных работ по виду деятельности «Строительство» в 2026 году, предположительно, составит 41,6 млрд. руб., </w:t>
      </w:r>
      <w:r w:rsidRPr="00D81973">
        <w:rPr>
          <w:rFonts w:eastAsia="Calibri"/>
          <w:color w:val="000000"/>
          <w:sz w:val="24"/>
          <w:szCs w:val="24"/>
        </w:rPr>
        <w:t xml:space="preserve">основная доля - финансирование при </w:t>
      </w:r>
      <w:r w:rsidRPr="00D81973">
        <w:rPr>
          <w:rFonts w:eastAsia="Calibri"/>
          <w:color w:val="000000"/>
          <w:spacing w:val="-2"/>
          <w:sz w:val="24"/>
          <w:szCs w:val="24"/>
        </w:rPr>
        <w:t>строительстве энергоблоков №7, №8 Ленинградской АЭС.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rFonts w:eastAsia="Calibri"/>
          <w:color w:val="000000"/>
          <w:spacing w:val="-2"/>
          <w:sz w:val="24"/>
          <w:szCs w:val="24"/>
        </w:rPr>
        <w:t xml:space="preserve">Администрация Сосновоборского городского округа в рамках своих полномочий </w:t>
      </w:r>
      <w:r w:rsidRPr="00D81973">
        <w:rPr>
          <w:rFonts w:eastAsia="Yu Gothic Medium"/>
          <w:color w:val="000000"/>
          <w:sz w:val="24"/>
          <w:szCs w:val="24"/>
        </w:rPr>
        <w:t>завершила работы по благоустройству территорий следующих объектов:</w:t>
      </w:r>
    </w:p>
    <w:p w:rsidR="00D81973" w:rsidRPr="00D81973" w:rsidRDefault="00D81973" w:rsidP="00D81973">
      <w:pPr>
        <w:shd w:val="clear" w:color="auto" w:fill="FFFFFF"/>
        <w:jc w:val="both"/>
        <w:rPr>
          <w:rFonts w:eastAsia="Yu Gothic Medium"/>
          <w:color w:val="000000"/>
          <w:sz w:val="24"/>
          <w:szCs w:val="24"/>
        </w:rPr>
      </w:pPr>
      <w:r w:rsidRPr="00D81973">
        <w:rPr>
          <w:rFonts w:eastAsia="Yu Gothic Medium"/>
          <w:color w:val="000000"/>
          <w:sz w:val="24"/>
          <w:szCs w:val="24"/>
        </w:rPr>
        <w:tab/>
        <w:t xml:space="preserve">- разработка проектной и сметной документации на строительство внутриквартальных проездов и инженерных сетей микрорайона Искра-3;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Yu Gothic Medium"/>
          <w:color w:val="000000"/>
          <w:sz w:val="24"/>
          <w:szCs w:val="24"/>
        </w:rPr>
      </w:pPr>
      <w:r w:rsidRPr="00D81973">
        <w:rPr>
          <w:rFonts w:eastAsia="Yu Gothic Medium"/>
          <w:color w:val="000000"/>
          <w:sz w:val="24"/>
          <w:szCs w:val="24"/>
        </w:rPr>
        <w:t>- работы</w:t>
      </w:r>
      <w:r w:rsidRPr="00D81973">
        <w:rPr>
          <w:rFonts w:eastAsia="Yu Gothic Medium"/>
          <w:b/>
          <w:color w:val="000000"/>
          <w:sz w:val="24"/>
          <w:szCs w:val="24"/>
        </w:rPr>
        <w:t xml:space="preserve"> </w:t>
      </w:r>
      <w:r w:rsidRPr="00D81973">
        <w:rPr>
          <w:rFonts w:eastAsia="Yu Gothic Medium"/>
          <w:color w:val="000000"/>
          <w:sz w:val="24"/>
          <w:szCs w:val="24"/>
        </w:rPr>
        <w:t xml:space="preserve">по строительству участка 4-го этапа линии наружного освещения «Ракопежи»         </w:t>
      </w:r>
    </w:p>
    <w:p w:rsidR="00D81973" w:rsidRPr="00D81973" w:rsidRDefault="00D81973" w:rsidP="00D81973">
      <w:pPr>
        <w:shd w:val="clear" w:color="auto" w:fill="FFFFFF"/>
        <w:jc w:val="both"/>
        <w:rPr>
          <w:rFonts w:eastAsia="Yu Gothic Medium"/>
          <w:color w:val="000000"/>
          <w:sz w:val="24"/>
          <w:szCs w:val="24"/>
        </w:rPr>
      </w:pPr>
      <w:r w:rsidRPr="00D81973">
        <w:rPr>
          <w:rFonts w:eastAsia="Yu Gothic Medium"/>
          <w:color w:val="000000"/>
          <w:sz w:val="24"/>
          <w:szCs w:val="24"/>
        </w:rPr>
        <w:t>- СНТ «Строитель» от опоры №С-36/0-75 до №С-36/0-72 в г. Сосновый Бор Ленинградской области;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Yu Gothic Medium"/>
          <w:color w:val="000000"/>
          <w:sz w:val="24"/>
          <w:szCs w:val="24"/>
        </w:rPr>
      </w:pPr>
      <w:r w:rsidRPr="00D81973">
        <w:rPr>
          <w:rFonts w:eastAsia="Yu Gothic Medium"/>
          <w:color w:val="000000"/>
          <w:sz w:val="24"/>
          <w:szCs w:val="24"/>
        </w:rPr>
        <w:t>- работы по подготовке технических планов и постановке на кадастровый учет объектов, расположенных в районе ГК "Искра" в г. Сосновый Бор, Ленинградская область: внутриквартальные проезды, сети ливневой канализации, канализационная насосная станция и локальное очистное сооружение;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Yu Gothic Medium"/>
          <w:color w:val="000000"/>
          <w:sz w:val="24"/>
          <w:szCs w:val="24"/>
        </w:rPr>
      </w:pPr>
      <w:r w:rsidRPr="00D81973">
        <w:rPr>
          <w:rFonts w:eastAsia="Yu Gothic Medium"/>
          <w:color w:val="000000"/>
          <w:sz w:val="24"/>
          <w:szCs w:val="24"/>
        </w:rPr>
        <w:t>- работы по разработке проектной и сметной документации и на устройство подъездной дороги ул. Биатлонная и наружного освещения территории района Липово в г. Сосновый Бор, Ленинградской;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Yu Gothic Medium"/>
          <w:color w:val="000000"/>
          <w:sz w:val="24"/>
          <w:szCs w:val="24"/>
        </w:rPr>
      </w:pPr>
      <w:r w:rsidRPr="00D81973">
        <w:rPr>
          <w:rFonts w:eastAsia="Yu Gothic Medium"/>
          <w:color w:val="000000"/>
          <w:sz w:val="24"/>
          <w:szCs w:val="24"/>
        </w:rPr>
        <w:t>- работы по обработке антивандальным покрытием поверхности бетонных подпорных стенок в парке «Белые пески» в г. Сосновый Бор Ленинградской области;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Yu Gothic Medium"/>
          <w:color w:val="000000"/>
          <w:sz w:val="24"/>
          <w:szCs w:val="24"/>
        </w:rPr>
      </w:pPr>
      <w:r w:rsidRPr="00D81973">
        <w:rPr>
          <w:rFonts w:eastAsia="Yu Gothic Medium"/>
          <w:color w:val="000000"/>
          <w:sz w:val="24"/>
          <w:szCs w:val="24"/>
        </w:rPr>
        <w:t>- разработка проектной документации на строительство пешеходного моста через реку Коваш к улице Мира в г.Сосновый Бор, Ленинградской области.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Yu Gothic Medium"/>
          <w:color w:val="000000"/>
          <w:sz w:val="24"/>
          <w:szCs w:val="24"/>
        </w:rPr>
      </w:pPr>
      <w:r w:rsidRPr="00D81973">
        <w:rPr>
          <w:rFonts w:eastAsia="Yu Gothic Medium"/>
          <w:color w:val="000000"/>
          <w:sz w:val="24"/>
          <w:szCs w:val="24"/>
        </w:rPr>
        <w:t>Работы по благоустройству находятся на стадии завершения по следующим объектам: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разработка проектной документации на строительство автомобильной дороги по ул. Коблицкого и ул. Красных Фортов-мкр.19 в г. Сосновый Бор, Ленинградской область с завершением проектирования в 2026 году;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корректировка проектной документации на реконструкцию 2-ой полосы улицы Александра Невского (от улицы Солнечная – до проспекта Героев) с завершением корректировки в 2026 году;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разработка проектной документации на строительство автомобильной дороги между мкр. Искра-2 и Искра-3 в г. Сосновый Бор Ленинградской области с завершением проектирования в 2026 году;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корректировка проектной документации на строительство внутриквартальных проездов к земельным участкам, выделенным по 105-ОЗ, в Восточном районе, контракт расторгнут в одностороннем порядке в связи с нарушением подрядчиком обязательств по выполнению работ;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 xml:space="preserve">- разработка проектной и сметной документации на строительство внутриквартальных проездов и инженерных сетей микрорайона Искра-1 в </w:t>
      </w:r>
      <w:r w:rsidRPr="00D81973">
        <w:rPr>
          <w:rFonts w:eastAsia="Calibri"/>
          <w:color w:val="000000"/>
          <w:sz w:val="24"/>
          <w:szCs w:val="24"/>
          <w:lang w:eastAsia="en-US"/>
        </w:rPr>
        <w:br/>
        <w:t>г. Сосновый Бор, Ленинградская область с завершением проектирования в 2026 году;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работы по разработке проектной и сметной документации на строительство внутриквартальных проездов и инженерных сетей микрорайона Искра-2 в г. Сосновый Бор, Ленинградская область с завершением проектирования в 2026 году, контракт расторгнут в одностороннем порядке в связи с нарушением подрядчиком обязательств по выполнению работ;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lastRenderedPageBreak/>
        <w:t>- разработка проектной и сметной документации на</w:t>
      </w:r>
      <w:r w:rsidRPr="00D81973">
        <w:rPr>
          <w:color w:val="000000"/>
          <w:sz w:val="24"/>
          <w:szCs w:val="24"/>
        </w:rPr>
        <w:t xml:space="preserve"> </w:t>
      </w:r>
      <w:r w:rsidRPr="00D81973">
        <w:rPr>
          <w:rFonts w:eastAsia="Calibri"/>
          <w:color w:val="000000"/>
          <w:sz w:val="24"/>
          <w:szCs w:val="24"/>
          <w:lang w:eastAsia="en-US"/>
        </w:rPr>
        <w:t>строительство сетей водоснабжения территории Восточной части г. Сосновый Бор, Ленинградской области с завершением проектирования в 2027 году;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благоустройство общественной территории по ул. Солнечная, д.14, мкр. №8 г. Сосновый Бор, Ленинградской области, в рамках федерального проекта «Формирование комфортной городской среды» национального проекта «Инфраструктура для жизни»;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в рамках федерального проекта «Формирование комфортной городской среды» национального проекта «Инфраструктура для жизни» идет подготовка к началу реализации проекта «Благоустройство набережной реки Коваши в районе Заречье в г.Сосновый Бор»;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благоустройство территории городского кладбища Воронка-2, установка мемориала в г. Сосновый Бор, Ленинградской области;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строительство линии наружного освещения 9 микрорайона в районе д. 30, 34 по ул. Солнечная ид. 1, 3, 9, 7 по ул. Молодежная в г. Сосновый Бор Ленинградской области;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 xml:space="preserve">- устройство дополнительных элементов благоустройства и освещения в парке «Белые пески» в г. Сосновый Бор Ленинградской области; 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разработка проектной и сметной документации на благоустройство общественной территории «Малая Копорская крепость» ул. Ленинградская д. 6-10 г. Сосновый Бор Ленинградской области;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заключен контракт на выполнение работ по благоустройству общественной территории, граничащей с хоккейной площадкой, вблизи д.14 по ул. Солнечной, мкр. №8 в г. Сосновый Бор, Ленинградской области;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подготовка к заключению муниципального контракта на выполнение работ по разработке проектной и сметной документации на обустройство открытых ледовых дорожек (ледового катка) на территории правого берега р. Коваши в районе парка «Приморский» в г. Сосновый Бор, Ленинградской области.</w:t>
      </w:r>
    </w:p>
    <w:p w:rsidR="00D81973" w:rsidRPr="00D81973" w:rsidRDefault="00D81973" w:rsidP="00D81973">
      <w:pPr>
        <w:shd w:val="clear" w:color="auto" w:fill="FFFFFF"/>
        <w:spacing w:line="276" w:lineRule="auto"/>
        <w:jc w:val="both"/>
        <w:rPr>
          <w:color w:val="000000"/>
          <w:spacing w:val="-8"/>
          <w:sz w:val="24"/>
          <w:szCs w:val="24"/>
        </w:rPr>
      </w:pPr>
    </w:p>
    <w:p w:rsidR="00D81973" w:rsidRPr="00D81973" w:rsidRDefault="00D81973" w:rsidP="00D81973">
      <w:pPr>
        <w:pStyle w:val="21"/>
        <w:keepNext/>
        <w:shd w:val="clear" w:color="auto" w:fill="FFFFFF"/>
        <w:spacing w:after="0"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Прогноз на 2027-2029 годы.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bCs/>
          <w:color w:val="000000"/>
          <w:sz w:val="24"/>
          <w:szCs w:val="24"/>
        </w:rPr>
        <w:t xml:space="preserve">Инвестиции </w:t>
      </w:r>
      <w:r w:rsidRPr="00D81973">
        <w:rPr>
          <w:color w:val="000000"/>
          <w:sz w:val="24"/>
          <w:szCs w:val="24"/>
        </w:rPr>
        <w:t xml:space="preserve">в основной капитал по крупным и средним организациям-инвесторам, исходя из их прогнозов, составят 111,8 млрд. руб. в 2027 году; с 278,2 в 2028 году и 223,5 млрд. руб. в 2029 году.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Увеличение прогнозируемого объема инвестиций вызвано строительством замещающих мощностей ЛАЭС-2.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A77C8C" w:rsidP="00D81973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D81973">
        <w:rPr>
          <w:noProof/>
          <w:color w:val="000000"/>
          <w:sz w:val="24"/>
          <w:szCs w:val="24"/>
        </w:rPr>
        <w:drawing>
          <wp:inline distT="0" distB="0" distL="0" distR="0">
            <wp:extent cx="5772785" cy="2190750"/>
            <wp:effectExtent l="0" t="0" r="0" b="0"/>
            <wp:docPr id="5" name="Объект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Увеличение объема строительных работ второй очереди ЛАЭС-2, приведет к существенному росту инвестиций (Рисунок 4).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Структура инвестиционных вложений по-прежнему будет включать финансирование производственных видов деятельности (порядка 90% от общего объёма инвестиций в округе).  В целом основная доля инвестиций будет представлена средствами АО «Концерн </w:t>
      </w:r>
      <w:r w:rsidRPr="00D81973">
        <w:rPr>
          <w:color w:val="000000"/>
          <w:sz w:val="24"/>
          <w:szCs w:val="24"/>
        </w:rPr>
        <w:lastRenderedPageBreak/>
        <w:t>Росэнергоатом» и АО «Концерн ТИТАН-2», направленных на реализацию инвестиционных проектов в Сосновоборском городском округе. Эти проекты включают в себя модернизацию Ленинградской атомной станции и строительство новых энергоблоков.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Инвестиции в </w:t>
      </w:r>
      <w:r w:rsidRPr="00D81973">
        <w:rPr>
          <w:bCs/>
          <w:color w:val="000000"/>
          <w:sz w:val="24"/>
          <w:szCs w:val="24"/>
        </w:rPr>
        <w:t>непроизводственные виды</w:t>
      </w:r>
      <w:r w:rsidRPr="00D81973">
        <w:rPr>
          <w:color w:val="000000"/>
          <w:sz w:val="24"/>
          <w:szCs w:val="24"/>
        </w:rPr>
        <w:t xml:space="preserve"> деятельности составят около 10 % от общего объема инвестиций.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строительном комплексе объем работ по виду деятельности «Строительство» составит: 108,4 млрд. руб. в 2027 году; 156,5 в 2028 году и 117,7 млрд. руб. в 2029 году.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Администрация Сосновоборского городского округа в рамках своих полномочий запланировала мероприятия к реализации в 2027-2029 годах по следующим объектам: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работы по разработке проектной и сметной документации на строительство сетей водоснабжения территории Восточной части г. Сосновый Бор, Ленинградской области;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работы по проведению изысканий и разработке проектно-сметной документации по организации и очистке ливневых стоков с территории города Сосновый Бор на выпуск в водные объекты №3 в г. Сосновый Бор Ленинградской области;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работы по разработке проектной и сметной документации на строительство улично-дорожных и инженерных сетей микрорайона Искра-2 в г. Сосновый Бор, Ленинградская область;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благоустройство общественной территории малой Копорской крепости в г.Сосновый Бор, Ленинградской области";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благоустройство общественной территории правого берега реки Коваши в районе парка «Приморский» в г. Сосновый Бор (продолжение благоустройства);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«благоустройство общественной территории набережной р. Коваши в мкр. Заречье»;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строительство внутриквартальных проездов и инженерных сетей микрорайона Искра-3 (Этап 1);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строительство внутриквартальных проездов и инженерных сетей микрорайона Искра-2 в г. Сосновый Бор Ленинградской;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- реконструкция 2-ой полосы улицы Александра Невского (от улицы Солнечная – до проспекта Героев).</w:t>
      </w:r>
    </w:p>
    <w:p w:rsidR="00D81973" w:rsidRPr="00D81973" w:rsidRDefault="00D81973" w:rsidP="00D81973">
      <w:pPr>
        <w:pStyle w:val="aff2"/>
        <w:shd w:val="clear" w:color="auto" w:fill="FFFFFF"/>
        <w:rPr>
          <w:color w:val="000000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17" w:name="_Toc242279722"/>
      <w:r w:rsidRPr="00D81973">
        <w:rPr>
          <w:color w:val="000000"/>
          <w:szCs w:val="24"/>
        </w:rPr>
        <w:t>1.7. Рынок труда и занятость населения</w:t>
      </w:r>
      <w:bookmarkEnd w:id="17"/>
    </w:p>
    <w:p w:rsidR="00D81973" w:rsidRPr="00D81973" w:rsidRDefault="00D81973" w:rsidP="00D81973">
      <w:pPr>
        <w:pStyle w:val="21"/>
        <w:keepNext/>
        <w:shd w:val="clear" w:color="auto" w:fill="FFFFFF"/>
        <w:spacing w:after="0" w:line="24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keepNext/>
        <w:shd w:val="clear" w:color="auto" w:fill="FFFFFF"/>
        <w:spacing w:after="0"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Ожидаемые итоги 2026 года.</w:t>
      </w:r>
    </w:p>
    <w:p w:rsidR="00D81973" w:rsidRPr="00D81973" w:rsidRDefault="00D81973" w:rsidP="00D81973">
      <w:pPr>
        <w:pStyle w:val="a9"/>
        <w:shd w:val="clear" w:color="auto" w:fill="FFFFFF"/>
        <w:ind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Среднесписочная численность работников Сосновоборского городского округа за 2026 год ожидается с увеличением на 1,4 % к предыдущему году и составит 25 373 человека.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Среднемесячная заработная плата работников списочного состава крупных и средних организаций округа за 2026 год вырастет на 10,8 % по сравнению с уровнем предыдущего года и составит 152 349 руб.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Сохранится разрыв уровня оплаты труда работников производственных отраслей и бюджетной сферы. Наиболее высокая заработная плата на предприятиях энергетики и строительства.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Численность зарегистрированных безработных в городе на конец 2026 года предполагается в количестве 33 человек. Уровень безработицы на конец года составит 0,09 % от численности экономически активного населения.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Количество вакансий, заявленных предприятиями, в Сосновоборский филиал Государственного казенного учреждения «Центр занятости населения Ленинградской области» на конец 2026 года предположительно составит 50 вакансий. На портале «Работа в России» по состоянию на 30.09.2026 г. опубликовано 2497 вакансий.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shd w:val="clear" w:color="auto" w:fill="FFFFFF"/>
        <w:spacing w:after="0"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Прогноз на 2027-2029 годы.</w:t>
      </w:r>
    </w:p>
    <w:p w:rsidR="00D81973" w:rsidRPr="00D81973" w:rsidRDefault="00D81973" w:rsidP="00D81973">
      <w:pPr>
        <w:pStyle w:val="a9"/>
        <w:shd w:val="clear" w:color="auto" w:fill="FFFFFF"/>
        <w:ind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Среднесписочная численность работников в организациях Сосновоборского городского округа (не относящихся к субъектам малого предпринимательства), с учетом </w:t>
      </w:r>
      <w:r w:rsidRPr="00D81973">
        <w:rPr>
          <w:color w:val="000000"/>
          <w:szCs w:val="24"/>
        </w:rPr>
        <w:lastRenderedPageBreak/>
        <w:t>строительства замещающих мощностей Ленинградской АЭС, в 2027-2029 годах прогнозируется с ростом и составит:</w:t>
      </w:r>
    </w:p>
    <w:p w:rsidR="00D81973" w:rsidRPr="00D81973" w:rsidRDefault="00D81973" w:rsidP="00D81973">
      <w:pPr>
        <w:pStyle w:val="a9"/>
        <w:numPr>
          <w:ilvl w:val="0"/>
          <w:numId w:val="33"/>
        </w:numPr>
        <w:shd w:val="clear" w:color="auto" w:fill="FFFFFF"/>
        <w:ind w:left="709"/>
        <w:rPr>
          <w:color w:val="000000"/>
          <w:szCs w:val="24"/>
        </w:rPr>
      </w:pPr>
      <w:r w:rsidRPr="00D81973">
        <w:rPr>
          <w:color w:val="000000"/>
          <w:szCs w:val="24"/>
        </w:rPr>
        <w:t>в 2027 году – 26 064 чел., рост к предыдущему году –  102,7 %;</w:t>
      </w:r>
    </w:p>
    <w:p w:rsidR="00D81973" w:rsidRPr="00D81973" w:rsidRDefault="00D81973" w:rsidP="00D81973">
      <w:pPr>
        <w:pStyle w:val="a9"/>
        <w:numPr>
          <w:ilvl w:val="0"/>
          <w:numId w:val="33"/>
        </w:numPr>
        <w:shd w:val="clear" w:color="auto" w:fill="FFFFFF"/>
        <w:ind w:left="709"/>
        <w:rPr>
          <w:color w:val="000000"/>
          <w:szCs w:val="24"/>
        </w:rPr>
      </w:pPr>
      <w:r w:rsidRPr="00D81973">
        <w:rPr>
          <w:color w:val="000000"/>
          <w:szCs w:val="24"/>
        </w:rPr>
        <w:t>в 2028 году – 26 406 чел., рост к предыдущему году – 101,3 %;</w:t>
      </w:r>
    </w:p>
    <w:p w:rsidR="00D81973" w:rsidRPr="00D81973" w:rsidRDefault="00D81973" w:rsidP="00D81973">
      <w:pPr>
        <w:pStyle w:val="a9"/>
        <w:numPr>
          <w:ilvl w:val="0"/>
          <w:numId w:val="33"/>
        </w:numPr>
        <w:shd w:val="clear" w:color="auto" w:fill="FFFFFF"/>
        <w:ind w:left="709"/>
        <w:rPr>
          <w:color w:val="000000"/>
          <w:szCs w:val="24"/>
        </w:rPr>
      </w:pPr>
      <w:r w:rsidRPr="00D81973">
        <w:rPr>
          <w:color w:val="000000"/>
          <w:szCs w:val="24"/>
        </w:rPr>
        <w:t>в 2029 году – 26 480 чел., рост к предыдущему году – 100,3 %.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Среднемесячная заработная плата работников списочного состава крупных и средних организаций округа прогнозируется с ежегодным ростом не ниже уровня инфляции и составит:</w:t>
      </w:r>
    </w:p>
    <w:p w:rsidR="00D81973" w:rsidRPr="00D81973" w:rsidRDefault="00D81973" w:rsidP="00D81973">
      <w:pPr>
        <w:pStyle w:val="aff2"/>
        <w:numPr>
          <w:ilvl w:val="0"/>
          <w:numId w:val="34"/>
        </w:numPr>
        <w:shd w:val="clear" w:color="auto" w:fill="FFFFFF"/>
        <w:ind w:left="709"/>
        <w:jc w:val="both"/>
        <w:rPr>
          <w:color w:val="000000"/>
        </w:rPr>
      </w:pPr>
      <w:r w:rsidRPr="00D81973">
        <w:rPr>
          <w:color w:val="000000"/>
        </w:rPr>
        <w:t>в 2027 году – 162 251,3 руб., рост к предыдущему году – 106,5 %;</w:t>
      </w:r>
    </w:p>
    <w:p w:rsidR="00D81973" w:rsidRPr="00D81973" w:rsidRDefault="00D81973" w:rsidP="00D81973">
      <w:pPr>
        <w:pStyle w:val="aff2"/>
        <w:numPr>
          <w:ilvl w:val="0"/>
          <w:numId w:val="34"/>
        </w:numPr>
        <w:shd w:val="clear" w:color="auto" w:fill="FFFFFF"/>
        <w:ind w:left="709"/>
        <w:jc w:val="both"/>
        <w:rPr>
          <w:color w:val="000000"/>
        </w:rPr>
      </w:pPr>
      <w:r w:rsidRPr="00D81973">
        <w:rPr>
          <w:color w:val="000000"/>
        </w:rPr>
        <w:t>в 2028 году – 173 446,6 руб., рост к предыдущему году – 106,9 %;</w:t>
      </w:r>
    </w:p>
    <w:p w:rsidR="00D81973" w:rsidRPr="00D81973" w:rsidRDefault="00D81973" w:rsidP="00D81973">
      <w:pPr>
        <w:pStyle w:val="aff2"/>
        <w:numPr>
          <w:ilvl w:val="0"/>
          <w:numId w:val="34"/>
        </w:numPr>
        <w:shd w:val="clear" w:color="auto" w:fill="FFFFFF"/>
        <w:ind w:left="709"/>
        <w:jc w:val="both"/>
        <w:rPr>
          <w:color w:val="000000"/>
        </w:rPr>
      </w:pPr>
      <w:r w:rsidRPr="00D81973">
        <w:rPr>
          <w:color w:val="000000"/>
        </w:rPr>
        <w:t>в 2029 году – 185 761,3 руб., рост к предыдущему году – 107,1 %.</w:t>
      </w:r>
    </w:p>
    <w:p w:rsidR="00D81973" w:rsidRPr="00D81973" w:rsidRDefault="00D81973" w:rsidP="00D81973">
      <w:pPr>
        <w:pStyle w:val="a9"/>
        <w:shd w:val="clear" w:color="auto" w:fill="FFFFFF"/>
        <w:ind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Численность зарегистрированных безработных в городском округе в 2027-2029 годах прогнозируется не более 20 человек на конец года. </w:t>
      </w:r>
    </w:p>
    <w:p w:rsidR="00D81973" w:rsidRPr="00D81973" w:rsidRDefault="00D81973" w:rsidP="00D81973">
      <w:pPr>
        <w:pStyle w:val="a9"/>
        <w:shd w:val="clear" w:color="auto" w:fill="FFFFFF"/>
        <w:ind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>Уровень безработицы при этом составит 0,05 % от численности экономически активного населения округа.</w:t>
      </w:r>
    </w:p>
    <w:p w:rsidR="00D81973" w:rsidRPr="00D81973" w:rsidRDefault="00D81973" w:rsidP="00D81973">
      <w:pPr>
        <w:pStyle w:val="a9"/>
        <w:shd w:val="clear" w:color="auto" w:fill="FFFFFF"/>
        <w:ind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>Городской банк вакансий, как и в предыдущие годы, ожидается со значительным превышением численности безработных.</w:t>
      </w:r>
    </w:p>
    <w:p w:rsidR="00D81973" w:rsidRPr="00D81973" w:rsidRDefault="00D81973" w:rsidP="00D81973">
      <w:pPr>
        <w:keepNext/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</w:p>
    <w:p w:rsidR="00D81973" w:rsidRPr="00D81973" w:rsidRDefault="00D81973" w:rsidP="00D81973">
      <w:pPr>
        <w:pStyle w:val="a9"/>
        <w:shd w:val="clear" w:color="auto" w:fill="FFFFFF"/>
        <w:jc w:val="right"/>
        <w:rPr>
          <w:bCs/>
          <w:color w:val="000000"/>
          <w:szCs w:val="24"/>
        </w:rPr>
      </w:pPr>
      <w:r w:rsidRPr="00D81973">
        <w:rPr>
          <w:bCs/>
          <w:color w:val="000000"/>
          <w:szCs w:val="24"/>
        </w:rPr>
        <w:t>Приложение №3</w:t>
      </w:r>
    </w:p>
    <w:p w:rsidR="00D81973" w:rsidRPr="00D81973" w:rsidRDefault="00D81973" w:rsidP="00D81973">
      <w:pPr>
        <w:pStyle w:val="3"/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3"/>
        <w:shd w:val="clear" w:color="auto" w:fill="FFFFFF"/>
        <w:rPr>
          <w:color w:val="000000"/>
          <w:sz w:val="24"/>
          <w:szCs w:val="24"/>
        </w:rPr>
      </w:pPr>
      <w:bookmarkStart w:id="18" w:name="_Toc242279723"/>
      <w:r w:rsidRPr="00D81973">
        <w:rPr>
          <w:color w:val="000000"/>
          <w:sz w:val="24"/>
          <w:szCs w:val="24"/>
        </w:rPr>
        <w:t>2. Градостроительство и землепользование</w:t>
      </w:r>
      <w:bookmarkEnd w:id="18"/>
    </w:p>
    <w:bookmarkEnd w:id="8"/>
    <w:p w:rsidR="00D81973" w:rsidRPr="00D81973" w:rsidRDefault="00D81973" w:rsidP="00D81973">
      <w:pPr>
        <w:keepNext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Ожидаемые итоги 2026 года.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2026 году завершено строительство многоквартирного жилого дома на земельном участке по адресу: Ленинградская область, Сосновоборский городской округ, г. Сосновый Бор, ул. Коблицкого, земельный участок 3.</w:t>
      </w:r>
    </w:p>
    <w:p w:rsidR="00D81973" w:rsidRPr="00D81973" w:rsidRDefault="00D81973" w:rsidP="00D81973">
      <w:pPr>
        <w:widowControl w:val="0"/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Продолжается реализация договора о комплексном развитии незастроенной территории Сосновоборского городского округа, ограниченной ул. Академика Александрова, ул. Парковая, ул. Красных Фортов, ул. Коблицкого (площадь территории 16,5 га). Инвестором запланировано строительство не только жилых домов, но и социальных объектов: начальной школы, детского сада, спортивных и игровых площадок. Будут построены магазины, парковки и благоустроенные скверы. Многоэтажные дома будут рассчитаны на 1330 квартир. Комплексное развитие незастроенной территории будет вестись в течение 10 лет, отдельные объекты будут вводиться поэтапно. </w:t>
      </w: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20"/>
        <w:jc w:val="both"/>
        <w:rPr>
          <w:b/>
          <w:color w:val="000000"/>
          <w:sz w:val="24"/>
          <w:szCs w:val="24"/>
        </w:rPr>
      </w:pPr>
      <w:bookmarkStart w:id="19" w:name="_Toc520986701"/>
      <w:r w:rsidRPr="00D81973">
        <w:rPr>
          <w:b/>
          <w:color w:val="000000"/>
          <w:sz w:val="24"/>
          <w:szCs w:val="24"/>
        </w:rPr>
        <w:t>Прогноз на 2027-2029 годы.</w:t>
      </w:r>
    </w:p>
    <w:p w:rsidR="00D81973" w:rsidRPr="00D81973" w:rsidRDefault="00D81973" w:rsidP="00D81973">
      <w:pPr>
        <w:widowControl w:val="0"/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 2027 году планируется ввод в эксплуатацию двух девятиэтажных многоквартирных жилых домов в северо-западном районе (ул. Коблицкого, з/у №5 и ул. Муравьева, з/у №22). </w:t>
      </w:r>
    </w:p>
    <w:p w:rsidR="00D81973" w:rsidRPr="00D81973" w:rsidRDefault="00D81973" w:rsidP="00D81973">
      <w:pPr>
        <w:widowControl w:val="0"/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Продолжается реализация договора о комплексном развитии незастроенной территории Сосновоборского городского округа, ограниченной ул. Академика Александрова, ул. Парковая, ул. Красных Фортов, ул. Коблицкого (площадь территории 16,5 га). Инвестором </w:t>
      </w:r>
      <w:r w:rsidRPr="00D81973">
        <w:rPr>
          <w:color w:val="000000"/>
          <w:sz w:val="24"/>
          <w:szCs w:val="24"/>
        </w:rPr>
        <w:lastRenderedPageBreak/>
        <w:t xml:space="preserve">запланировано строительство не только жилых домов, но и социальных объектов: начальной школы, детского сада, спортивных и игровых площадок. Будут построены магазины, парковки и благоустроенные скверы. Многоэтажные дома будут рассчитаны на 1330 квартир. Комплексное развитие незастроенной территории будет вестись в течение 10 лет, отдельные объекты будут вводиться поэтапно. Ввод в эксплуатацию первых двух многоэтажных многоквартирных жилых домов со встроенными и/или пристроенными помещениями коммерческого назначения и газовой котельной запланировано на 2027 год.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Продолжится выполнение следующих мероприятий: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подготовка планировочной документации новых территорий для формирования резерва земельных участков для предоставления льготным категориям граждан (в рамках реализации областных законов Ленинградской области от 14.10.2008 № 105-оз, от 17.07.2018 № 75-оз);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проведение строительно-технической экспертизы объектов;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 разработка концепции благоустройства общественных территорий;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внесение в Единый государственный реестр недвижимости сведений о местоположении границ земельных участков;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комплексные кадастровые работы;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ведение государственной информационной системы обеспечения градостроительной деятельности Ленинградской области (внесение сведений, документов, материалов).</w:t>
      </w:r>
    </w:p>
    <w:p w:rsidR="00D81973" w:rsidRPr="00D81973" w:rsidRDefault="00D81973" w:rsidP="00D81973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прогнозируемом периоде продолжится строительство объектов индивидуального жилищного строительства общей площадью 15000 кв.м.</w:t>
      </w:r>
    </w:p>
    <w:p w:rsidR="00D81973" w:rsidRPr="00D81973" w:rsidRDefault="00D81973" w:rsidP="00D81973">
      <w:pPr>
        <w:shd w:val="clear" w:color="auto" w:fill="FFFFFF"/>
        <w:ind w:firstLine="720"/>
        <w:jc w:val="both"/>
        <w:rPr>
          <w:color w:val="000000"/>
          <w:sz w:val="24"/>
          <w:szCs w:val="24"/>
          <w:u w:val="single"/>
        </w:rPr>
      </w:pPr>
      <w:r w:rsidRPr="00D81973">
        <w:rPr>
          <w:color w:val="000000"/>
          <w:sz w:val="24"/>
          <w:szCs w:val="24"/>
          <w:u w:val="single"/>
        </w:rPr>
        <w:t>Планируется строительство следующих объектов социальной сферы:</w:t>
      </w:r>
    </w:p>
    <w:p w:rsidR="00D81973" w:rsidRPr="00D81973" w:rsidRDefault="00D81973" w:rsidP="00D81973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городского музея общей площадью 500 кв. м;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крытой ледовой арены;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Cs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bCs/>
          <w:color w:val="000000"/>
          <w:sz w:val="24"/>
          <w:szCs w:val="24"/>
        </w:rPr>
        <w:t xml:space="preserve"> культурно-досугового центра с гостиницами для размещения туристов и отдыхающих;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bCs/>
          <w:color w:val="000000"/>
          <w:sz w:val="24"/>
          <w:szCs w:val="24"/>
        </w:rPr>
        <w:t xml:space="preserve">- гостиничного комплекса на базе </w:t>
      </w:r>
      <w:r w:rsidRPr="00D81973">
        <w:rPr>
          <w:color w:val="000000"/>
          <w:sz w:val="24"/>
          <w:szCs w:val="24"/>
        </w:rPr>
        <w:t>МАОУ ДО «СШ «Малахит»;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гоночного трека для картинга.</w:t>
      </w:r>
    </w:p>
    <w:p w:rsidR="00D81973" w:rsidRPr="00D81973" w:rsidRDefault="00D81973" w:rsidP="00D81973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Строительство индивидуальных жилых домов на земельных участках, планируемых для предоставления администрацией Сосновоборского городского округа в рамках реализации Областных законов Ленинградской области от 17.07.2018 №75-оз 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 и от 14.10.2008 N 105-оз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области", частично удовлетворит потребность города в малоэтажной жилой застройке. 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rPr>
          <w:color w:val="000000"/>
          <w:sz w:val="24"/>
          <w:szCs w:val="24"/>
        </w:rPr>
      </w:pP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4690"/>
      </w:tblGrid>
      <w:tr w:rsidR="00D81973" w:rsidRPr="00667059" w:rsidTr="00AA1D5B">
        <w:trPr>
          <w:trHeight w:val="361"/>
        </w:trPr>
        <w:tc>
          <w:tcPr>
            <w:tcW w:w="4957" w:type="dxa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Основные проблемы</w:t>
            </w:r>
          </w:p>
        </w:tc>
        <w:tc>
          <w:tcPr>
            <w:tcW w:w="4690" w:type="dxa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Предполагаемые пути решения</w:t>
            </w:r>
          </w:p>
        </w:tc>
      </w:tr>
      <w:tr w:rsidR="00D81973" w:rsidRPr="00667059" w:rsidTr="00AA1D5B">
        <w:trPr>
          <w:trHeight w:val="1103"/>
        </w:trPr>
        <w:tc>
          <w:tcPr>
            <w:tcW w:w="4957" w:type="dxa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Образование, установление или уточнение местоположения границ земельных участков, зданий, строений, сооружений, участков общего пользования, занятых улицами, проездами, скверами </w:t>
            </w:r>
            <w:r w:rsidRPr="00D81973">
              <w:rPr>
                <w:rFonts w:eastAsia="Calibri"/>
                <w:color w:val="000000"/>
                <w:sz w:val="24"/>
                <w:szCs w:val="24"/>
                <w:lang w:eastAsia="en-US"/>
              </w:rPr>
              <w:t>и другими объектами.</w:t>
            </w:r>
            <w:r w:rsidRPr="00D81973">
              <w:rPr>
                <w:color w:val="000000"/>
                <w:sz w:val="24"/>
                <w:szCs w:val="24"/>
              </w:rPr>
              <w:t xml:space="preserve">  Установление или уточнение местоположения на участках зданий, сооружений,</w:t>
            </w:r>
            <w:r w:rsidRPr="00D81973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многоквартирных домов,</w:t>
            </w:r>
            <w:r w:rsidRPr="00D81973">
              <w:rPr>
                <w:color w:val="000000"/>
                <w:sz w:val="24"/>
                <w:szCs w:val="24"/>
              </w:rPr>
              <w:t xml:space="preserve"> объектов незавершенного строительства. Исправление реестровых ошибок в сведениях о </w:t>
            </w:r>
            <w:r w:rsidRPr="00D81973">
              <w:rPr>
                <w:color w:val="000000"/>
                <w:sz w:val="24"/>
                <w:szCs w:val="24"/>
              </w:rPr>
              <w:lastRenderedPageBreak/>
              <w:t>местоположении границ объектов недвижимости.</w:t>
            </w: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Отсутствие точно определенных границ является причиной большинства конфликтов между владельцами смежных земельных участков.  Уточнение границ помогает исправить возможные ошибки, в том числе в сведениях о фактически используемой площади в случае её отличия от указанной в сведениях единого государственного реестра недвижимости. Кроме того, ошибочные сведения о площади участка могут стать причиной неверного определения его кадастровой стоимости и, как следствие, неверного определения размера земельного налога.</w:t>
            </w:r>
          </w:p>
        </w:tc>
        <w:tc>
          <w:tcPr>
            <w:tcW w:w="4690" w:type="dxa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lastRenderedPageBreak/>
              <w:t>В соответствии с разработанным планом проводятся комплексных кадастровые работы с привлечением средств бюджета Ленинградской области. Планируемый срок окончания проведения комплексных кадастровых работ в селитебной части города – 2027 год.</w:t>
            </w:r>
          </w:p>
        </w:tc>
      </w:tr>
    </w:tbl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20" w:name="_Toc242279724"/>
      <w:r w:rsidRPr="00D81973">
        <w:rPr>
          <w:color w:val="000000"/>
          <w:szCs w:val="24"/>
        </w:rPr>
        <w:t>3. Социальная сфера</w:t>
      </w:r>
      <w:bookmarkEnd w:id="19"/>
      <w:bookmarkEnd w:id="20"/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21" w:name="_Toc242279725"/>
      <w:r w:rsidRPr="00D81973">
        <w:rPr>
          <w:color w:val="000000"/>
          <w:szCs w:val="24"/>
        </w:rPr>
        <w:t>3.1. Образование</w:t>
      </w:r>
      <w:bookmarkEnd w:id="21"/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keepNext/>
        <w:shd w:val="clear" w:color="auto" w:fill="FFFFFF"/>
        <w:ind w:firstLine="709"/>
        <w:rPr>
          <w:b/>
          <w:bCs/>
          <w:color w:val="000000"/>
          <w:sz w:val="24"/>
          <w:szCs w:val="24"/>
        </w:rPr>
      </w:pPr>
      <w:bookmarkStart w:id="22" w:name="_Toc16152564"/>
      <w:r w:rsidRPr="00D81973">
        <w:rPr>
          <w:b/>
          <w:bCs/>
          <w:color w:val="000000"/>
          <w:sz w:val="24"/>
          <w:szCs w:val="24"/>
        </w:rPr>
        <w:t>Ожидаемые итоги 2026 года</w:t>
      </w:r>
    </w:p>
    <w:p w:rsidR="00D81973" w:rsidRPr="00D81973" w:rsidRDefault="00D81973" w:rsidP="00D81973">
      <w:pPr>
        <w:keepNext/>
        <w:shd w:val="clear" w:color="auto" w:fill="FFFFFF"/>
        <w:tabs>
          <w:tab w:val="left" w:pos="709"/>
        </w:tabs>
        <w:ind w:firstLine="709"/>
        <w:jc w:val="both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1. В общем образовании: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повышение качества обучения;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оснащение предметных кабинетов в соответствии с обновленными федеральными государственными образовательными стандартами общего образования;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повышению эффективности системы выявления, поддержки и развития способностей и талантов у детей и молодёжи, основанной на принципах справедливости, всеобщности и направленной на самоопределение и профессиональную ориентацию всех обучающихся Сосновоборского городского округа;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обеспечению доступности и качества образования для детей с ограниченными возможностями здоровья и детей с инвалидностью.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 1 сентября 2026 года в российских школах внедряются несколько важных изменений, которые затронут учебные программы, дисциплину и подходы к преподаванию.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Cs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Введение нового обязательного предмета </w:t>
      </w:r>
      <w:r w:rsidRPr="00D81973">
        <w:rPr>
          <w:bCs/>
          <w:color w:val="000000"/>
          <w:sz w:val="24"/>
          <w:szCs w:val="24"/>
        </w:rPr>
        <w:t>«Духовно-нравственная культура России» (ДНКР).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Во </w:t>
      </w:r>
      <w:r w:rsidRPr="00D81973">
        <w:rPr>
          <w:bCs/>
          <w:color w:val="000000"/>
          <w:sz w:val="24"/>
          <w:szCs w:val="24"/>
        </w:rPr>
        <w:t>втором полугодии 2026-2027 учебного года</w:t>
      </w:r>
      <w:r w:rsidRPr="00D81973">
        <w:rPr>
          <w:color w:val="000000"/>
          <w:sz w:val="24"/>
          <w:szCs w:val="24"/>
        </w:rPr>
        <w:t xml:space="preserve"> его начнут изучать </w:t>
      </w:r>
      <w:r w:rsidRPr="00D81973">
        <w:rPr>
          <w:bCs/>
          <w:color w:val="000000"/>
          <w:sz w:val="24"/>
          <w:szCs w:val="24"/>
        </w:rPr>
        <w:t>пятиклассники</w:t>
      </w:r>
      <w:r w:rsidRPr="00D81973">
        <w:rPr>
          <w:color w:val="000000"/>
          <w:sz w:val="24"/>
          <w:szCs w:val="24"/>
        </w:rPr>
        <w:t xml:space="preserve"> (в объеме 17 часов). С </w:t>
      </w:r>
      <w:r w:rsidRPr="00D81973">
        <w:rPr>
          <w:bCs/>
          <w:color w:val="000000"/>
          <w:sz w:val="24"/>
          <w:szCs w:val="24"/>
        </w:rPr>
        <w:t>2027-2028 учебного года</w:t>
      </w:r>
      <w:r w:rsidRPr="00D81973">
        <w:rPr>
          <w:color w:val="000000"/>
          <w:sz w:val="24"/>
          <w:szCs w:val="24"/>
        </w:rPr>
        <w:t xml:space="preserve"> ДНКР также появится в </w:t>
      </w:r>
      <w:r w:rsidRPr="00D81973">
        <w:rPr>
          <w:bCs/>
          <w:color w:val="000000"/>
          <w:sz w:val="24"/>
          <w:szCs w:val="24"/>
        </w:rPr>
        <w:t>6-х и 7-х классах</w:t>
      </w:r>
      <w:r w:rsidRPr="00D81973">
        <w:rPr>
          <w:color w:val="000000"/>
          <w:sz w:val="24"/>
          <w:szCs w:val="24"/>
        </w:rPr>
        <w:t xml:space="preserve"> (по 34 часа в год).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Продолжится апробация </w:t>
      </w:r>
      <w:r w:rsidRPr="00D81973">
        <w:rPr>
          <w:color w:val="000000"/>
          <w:sz w:val="24"/>
          <w:szCs w:val="24"/>
          <w:shd w:val="clear" w:color="auto" w:fill="FFFFFF"/>
        </w:rPr>
        <w:t>системы оценки поведения школьников.</w:t>
      </w:r>
      <w:r w:rsidRPr="00D81973">
        <w:rPr>
          <w:color w:val="000000"/>
          <w:sz w:val="24"/>
          <w:szCs w:val="24"/>
        </w:rPr>
        <w:t xml:space="preserve"> Вместо экспериментальных схем, которые тестировались в 2025 году, будет апробироваться единая трехуровневая шкала для </w:t>
      </w:r>
      <w:r w:rsidRPr="00D81973">
        <w:rPr>
          <w:bCs/>
          <w:color w:val="000000"/>
          <w:sz w:val="24"/>
          <w:szCs w:val="24"/>
        </w:rPr>
        <w:t>всех классов, кроме первых</w:t>
      </w:r>
      <w:r w:rsidRPr="00D81973">
        <w:rPr>
          <w:color w:val="000000"/>
          <w:sz w:val="24"/>
          <w:szCs w:val="24"/>
        </w:rPr>
        <w:t>: «образцовое», «допустимое» и «недопустимое» поведение. При этом в первых классах оценки за поведение ставить не будут. В Сосновоборском городском округе примут участие МБОУ «Гимназия № 5» и МБОУ «СОШ № 9 им. В.И. Некрасова».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Пройдет корректировка учебных планов: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</w:t>
      </w:r>
      <w:r w:rsidRPr="00D81973">
        <w:rPr>
          <w:bCs/>
          <w:color w:val="000000"/>
          <w:sz w:val="24"/>
          <w:szCs w:val="24"/>
        </w:rPr>
        <w:t>перераспределение часов:</w:t>
      </w:r>
      <w:r w:rsidRPr="00D81973">
        <w:rPr>
          <w:color w:val="000000"/>
          <w:sz w:val="24"/>
          <w:szCs w:val="24"/>
        </w:rPr>
        <w:t xml:space="preserve"> часы для изучения иностранного языка в 5–7-х классах будут скорректированы, чтобы освободить место для нового предмета ДНКР;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bCs/>
          <w:color w:val="000000"/>
          <w:sz w:val="24"/>
          <w:szCs w:val="24"/>
        </w:rPr>
        <w:t>- усиление военной подготовки:</w:t>
      </w:r>
      <w:r w:rsidRPr="00D81973">
        <w:rPr>
          <w:color w:val="000000"/>
          <w:sz w:val="24"/>
          <w:szCs w:val="24"/>
        </w:rPr>
        <w:t xml:space="preserve"> в рамках предмета «Основы безопасности и защиты Родины» (ОБЗР) доля времени на начальную военную подготовку будет увеличена с </w:t>
      </w:r>
      <w:r w:rsidRPr="00D81973">
        <w:rPr>
          <w:bCs/>
          <w:color w:val="000000"/>
          <w:sz w:val="24"/>
          <w:szCs w:val="24"/>
        </w:rPr>
        <w:t>20% до 50%</w:t>
      </w:r>
      <w:r w:rsidRPr="00D81973">
        <w:rPr>
          <w:color w:val="000000"/>
          <w:sz w:val="24"/>
          <w:szCs w:val="24"/>
        </w:rPr>
        <w:t>. В программу включат изучение БПЛА и проведение учебных сборов.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2. В дошкольном образовании: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>- создание условий, обеспечивающих доступность качественного дошкольного образования, в том числе для детей-инвалидов и детей с ограниченными возможностями здоровья;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повышение качества дошкольного образования в соответствии с федеральным государственным образовательным стандартом дошкольного образования (ФГОС ДО) и федеральной образовательной программой дошкольного образования (ФОП ДО).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3. В дополнительном образовании: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дальнейшее развитие олимпиадного движения, проектной и исследовательской деятельности, координация работы школьных олимпиадных центров; 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развитие технической и естественнонаучной направленностей;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создание условий для участия обучающихся в конкурсном и олимпиадном движении;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содействие в творческом развитии обучающихся;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дальнейшее развитие центра патриотического воспитания;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приобщение к массовым спортивным мероприятиям.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На решение задачи по обеспечению развития и укрепления материально-технической базы, улучшение технического состояния зданий и территорий образовательных организаций, подведомственных Комитету образования Сосновоборского городского округа в 2026 году запланированы средства в размере 61884,15657 тыс. руб. (в том числе средства бюджета Сосновоборского городского округа – 51591,49105 тыс. руб., средства бюджета Ленинградской области – 10292,66552 тыс. руб.).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рамках муниципального проекта реализуются мероприятия по укреплению материально-технической базы, обустройству прилегающих территорий, в т.ч. проведения ремонтных работ в образовательных организациях и мероприятий по поддержке развития общественной инфраструктуры муниципального значения – по состоянию на 01.10.2026 года проведены 50 мероприятий в 19 образовательных организациях, в том числе: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по техническому обследованию и мониторингу технического состояния зданий образовательных организаций, во исполнение решений суда: МБДОУ «Детский сад № 4», МБДОУ «Детский сад № 6»; МБДОУ «Детский сад № 11»; МБОУ «СОШ № 1», МБОУ «СОШ № 3»;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по ремонту помещений и инженерных сетей: МБДОУ «Центр развития ребенка №2, МБДОУ «Детский сад № 4», МБДОУ «Детский сад № 6»; МБОУ «СОШ № 1», МБОУ «Гимназия № 5», МБОУ «СОШ № 6», МБОУ «СОШ № 7»,</w:t>
      </w:r>
      <w:r w:rsidRPr="004F5C52">
        <w:t xml:space="preserve"> </w:t>
      </w:r>
      <w:r w:rsidRPr="00D81973">
        <w:rPr>
          <w:color w:val="000000"/>
          <w:sz w:val="24"/>
          <w:szCs w:val="24"/>
        </w:rPr>
        <w:t>МБОУ «Лицей № 8», МБОУ «СОШ № 9 им. В.И. Некрасова», МБОУ ДО «ЦРТ», МБОУ ДО «ДДТ»,</w:t>
      </w:r>
      <w:r w:rsidRPr="0062787E">
        <w:t xml:space="preserve"> </w:t>
      </w:r>
      <w:r w:rsidRPr="00D81973">
        <w:rPr>
          <w:color w:val="000000"/>
          <w:sz w:val="24"/>
          <w:szCs w:val="24"/>
        </w:rPr>
        <w:t>МБОУ ДО «ДЮСШ»,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по замене автоматической пожарной сигнализации и системы оповещения и управления эвакуацией: МБДОУ «Детский сад № 3»; МБДОУ «Детский сад № 8»; МБОУ «СОШ № 1».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Проводится работа в рамках реализации инициатив-победителей по инициативному бюджетированию «Я планирую бюджет»: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проект «Вход в спорт», стоимость проекта составила 3000,00000 тыс. руб., МБОУ ДО «ДЮСШ»;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проект «Трибуна для зрителей», стоимость проекта составила 2750,00000 тыс. руб., МБОУ ДО «ДЮСШ»;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проект «Волейбол у 9 школы», стоимость проекта составила 2800,00000 тыс. руб. МБОУ «СОШ № 9 им. В.И. Некрасова»;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проект «Стадион Лицея № 8», стоимость проекта 2835,67490 руб. МБОУ «Лицей №8».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Проведена работа в рамках регионального проекта «Всё лучшее детям»: в девяти общеобразовательных организациях Сосновоборского городского округа предметные кабинеты учебным предметам «Изобразительное искусство, «Физика» и «Музыка» оснащены средствами обучения и воспитания. Стоимость реализованных мероприятий составила 1215,01306.</w:t>
      </w:r>
    </w:p>
    <w:p w:rsidR="00D81973" w:rsidRPr="00D81973" w:rsidRDefault="00D81973" w:rsidP="00D81973">
      <w:pPr>
        <w:shd w:val="clear" w:color="auto" w:fill="FFFFFF"/>
        <w:suppressAutoHyphens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 xml:space="preserve">Продолжается системная работа по выполнению Указа Президента РФ по поэтапному повышению заработной платы педагогических работников. Ведется ежемесячный мониторинг роста заработной платы педагогических работников образовательных учреждений.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На 01.10.2026 по образовательным учреждениям Сосновоборского городского округа средняя заработная плата педагогических работников составила: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 дошкольных образовательных учреждениях 76631,8 руб. (достигнутое соотношение 101,2 % от средней заработной платы работников общеобразовательных учреждений СГО (75724,4 руб.);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 общеобразовательных учреждениях – 76087,9 руб. (достигнутое соотношение 101,1% от среднемесячного дохода от трудовой деятельности в Ленинградской области (75263,0 руб.);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 учреждениях дополнительного образования (комитет образования, культура и спорт) – 75884,6 руб. (достигнутое соотношение 99,9 % от заработной платы учителей общеобразовательных учреждений муниципального образования (75990,2 руб.).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целях привлечения выпускников учебных заведений в образовательные учреждения города в 2026 году на муниципальном уровне сохранится выплата разового пособия молодым специалистам, приступившим к работе в образовательных учреждениях в год окончания учебного заведения до 1 сентября. Выплата частичной компенсации за съемное жилье 50 педагогическим работникам, в размере 25,0 тыс. руб. в месяц.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Прогноз на 2027-2029 годы.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На прогнозируемый период определены основные цели деятельности муниципальной системы образования: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1) обеспечение доступности, повышение эффективности и качества дошкольного образования; обеспечение доступности качественного образования и успешную социализацию детей с ограниченными возможностями здоровья и детей-инвалидов.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2) </w:t>
      </w:r>
      <w:r w:rsidRPr="00D81973">
        <w:rPr>
          <w:bCs/>
          <w:color w:val="000000"/>
          <w:sz w:val="24"/>
          <w:szCs w:val="24"/>
        </w:rPr>
        <w:t>создание устойчивой образовательной системы, обеспечивающей достижение учащимися планируемых результатов, соответствующих современным государственным стандартам и запросам рынка труда, через оптимизацию содержания, технологий и организационных форм учебного процесса</w:t>
      </w:r>
      <w:r w:rsidRPr="00D81973">
        <w:rPr>
          <w:color w:val="000000"/>
          <w:sz w:val="24"/>
          <w:szCs w:val="24"/>
        </w:rPr>
        <w:t>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3) </w:t>
      </w:r>
      <w:r w:rsidRPr="00D81973">
        <w:rPr>
          <w:color w:val="000000"/>
          <w:sz w:val="24"/>
          <w:szCs w:val="24"/>
          <w:shd w:val="clear" w:color="auto" w:fill="FFFFFF"/>
        </w:rPr>
        <w:t xml:space="preserve">выстраивание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 </w:t>
      </w:r>
      <w:r w:rsidRPr="00D81973">
        <w:rPr>
          <w:color w:val="000000"/>
          <w:sz w:val="24"/>
          <w:szCs w:val="24"/>
        </w:rPr>
        <w:t>создание условий для формирования здорового образа жизни, развитие олимпиадного движения, а также школьных олимпиадных центров;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4) сохранение охвата дополнительным образованием детей и подростков в возрасте 5-18 лет; профессиональное ориентирование подростков; создание условий для творческого развития детей, требующих особого внимания (талантливые дети, дети с ограниченными возможностями здоровья), раскрытие способностей каждого обучающегося, формирование патриотичной, социально-активной личности; дальнейшее развитие спортивно-массовой работы и формирование у подрастающего поколения приоритетного отношения к собственному здоровью как жизненной ценности через интеграцию дополнительного и основного образования; оказание муниципальным опорным центром дополнительного образования ресурсной, учебно-методической, организационной, экспертно-консультационной поддержки, а также координация деятельности учреждений дополнительного образования и оказание методической поддержки организациям, осуществляющим обучение в сфере дополнительного образования детей;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5) организация отдыха и оздоровления детей и подростков в каникулярное время, в том числе в выездных лагерях; организация туристических походов;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6) укрепление материально-технической базы образовательных учреждений, приведение в соответствие с современными требованиями и нормами; создание безопасных условий для обучающихся, воспитанников и работников образовательных учреждений; </w:t>
      </w:r>
      <w:r w:rsidRPr="00D81973">
        <w:rPr>
          <w:color w:val="000000"/>
          <w:sz w:val="24"/>
          <w:szCs w:val="24"/>
        </w:rPr>
        <w:lastRenderedPageBreak/>
        <w:t>обеспечение и содержание зданий и сооружений образовательных организаций, обустройство прилегающих к ним территорий;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bCs/>
          <w:color w:val="000000"/>
          <w:sz w:val="24"/>
          <w:szCs w:val="24"/>
        </w:rPr>
        <w:t>7) повышение социального престижа и привлекательности педагогической профессии, уровня квалификации педагогических кадров;</w:t>
      </w:r>
      <w:r w:rsidRPr="00D81973">
        <w:rPr>
          <w:color w:val="000000"/>
          <w:sz w:val="24"/>
          <w:szCs w:val="24"/>
        </w:rPr>
        <w:t xml:space="preserve"> дальнейшее использование возможностей персонифицированной модели повышения квалификации педагогических работников, как для повышения квалификации самого учителя, так и для обобщения полученного опыта среди педагогов города; </w:t>
      </w:r>
      <w:r w:rsidRPr="00D81973">
        <w:rPr>
          <w:color w:val="000000"/>
          <w:sz w:val="24"/>
          <w:szCs w:val="24"/>
          <w:shd w:val="clear" w:color="auto" w:fill="FFFFFF"/>
        </w:rPr>
        <w:t>формирование системы профессиональных конкурсов в целях предоставления гражданам возможностей для профессионального и карьерного роста</w:t>
      </w:r>
      <w:r w:rsidRPr="00D81973">
        <w:rPr>
          <w:color w:val="000000"/>
          <w:sz w:val="24"/>
          <w:szCs w:val="24"/>
        </w:rPr>
        <w:t>.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6095"/>
      </w:tblGrid>
      <w:tr w:rsidR="00D81973" w:rsidRPr="00667059" w:rsidTr="00AA1D5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Основные проблемы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Предполагаемые пути решения</w:t>
            </w:r>
          </w:p>
        </w:tc>
      </w:tr>
      <w:tr w:rsidR="00D81973" w:rsidRPr="00667059" w:rsidTr="00AA1D5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1.Нехватка педагогических кадров.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Предусмотрено и планируется: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-выплата разового пособия молодым специалистам, прибывающим в образовательные учреждения Сосновоборского городского округа;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-выплата компенсации за съёмное жилье педагогическим работникам;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-обеспечение временным жильем педагогических работников, в том числе служебным.</w:t>
            </w:r>
          </w:p>
        </w:tc>
      </w:tr>
      <w:tr w:rsidR="00D81973" w:rsidRPr="00667059" w:rsidTr="00AA1D5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2.Неполное соответствие материально-технической базы муниципальных образовательных организаций современным требованиям оснащенности.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Дооснащение кабинетов в рамках национального проекта «Молодежь и дети»: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2025-2027 года кабинеты «ОБЗР», «Труд (технология)».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2026-2028 года кабинеты «ИЗО», «физика» и «музыка».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 xml:space="preserve">2027-2029 года: </w:t>
            </w:r>
            <w:r w:rsidRPr="00D81973">
              <w:rPr>
                <w:color w:val="000000"/>
                <w:sz w:val="24"/>
                <w:szCs w:val="24"/>
              </w:rPr>
              <w:t xml:space="preserve">в планах — кабинеты </w:t>
            </w:r>
            <w:r w:rsidRPr="00D81973">
              <w:rPr>
                <w:bCs/>
                <w:color w:val="000000"/>
                <w:sz w:val="24"/>
                <w:szCs w:val="24"/>
              </w:rPr>
              <w:t>математики, информатики и ИКТ, биологии и химии</w:t>
            </w:r>
            <w:r w:rsidRPr="00D81973">
              <w:rPr>
                <w:color w:val="000000"/>
                <w:sz w:val="24"/>
                <w:szCs w:val="24"/>
              </w:rPr>
              <w:t>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Проведение текущих и капитальных ремонтов в образовательных организациях в соответствии с требованиями СанПин и Госпожнадзора.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81973" w:rsidRPr="00D81973" w:rsidRDefault="00D81973" w:rsidP="00D81973">
      <w:pPr>
        <w:keepNext/>
        <w:shd w:val="clear" w:color="auto" w:fill="FFFFFF"/>
        <w:outlineLvl w:val="1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23" w:name="_Toc242279726"/>
      <w:r w:rsidRPr="00D81973">
        <w:rPr>
          <w:color w:val="000000"/>
          <w:szCs w:val="24"/>
        </w:rPr>
        <w:t>3.2. Социальная защита населения. Здравоохранение</w:t>
      </w:r>
      <w:bookmarkEnd w:id="22"/>
      <w:bookmarkEnd w:id="23"/>
    </w:p>
    <w:p w:rsidR="00D81973" w:rsidRPr="00ED5047" w:rsidRDefault="00D81973" w:rsidP="00D81973">
      <w:pPr>
        <w:jc w:val="center"/>
        <w:rPr>
          <w:b/>
          <w:sz w:val="24"/>
          <w:szCs w:val="24"/>
        </w:rPr>
      </w:pPr>
      <w:r w:rsidRPr="00ED5047">
        <w:rPr>
          <w:b/>
          <w:sz w:val="24"/>
          <w:szCs w:val="24"/>
        </w:rPr>
        <w:t>Социальная защита населения</w:t>
      </w:r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bookmarkStart w:id="24" w:name="_Toc520986704"/>
      <w:bookmarkStart w:id="25" w:name="_Toc528926528"/>
      <w:bookmarkStart w:id="26" w:name="_Toc270930060"/>
      <w:bookmarkStart w:id="27" w:name="_Toc16152566"/>
      <w:r w:rsidRPr="00D81973">
        <w:rPr>
          <w:b/>
          <w:bCs/>
          <w:color w:val="000000"/>
          <w:sz w:val="24"/>
          <w:szCs w:val="24"/>
        </w:rPr>
        <w:t>Ожидаемые итоги 2026 года: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На основании решения совета депутатов муниципального образования Сосновоборский городской округ Ленинградской области от 20.06.2018 № 110 «О внесении изменений в решение совета депутатов Сосновоборского городского округа от 27.01.2010 г. № 1 «Об утверждении структуры администрации муниципального образования Сосновоборский городской округ Ленинградской области» отдел социальных программ администрации осуществляет  мероприятия</w:t>
      </w:r>
      <w:r w:rsidRPr="00D81973">
        <w:rPr>
          <w:i/>
          <w:color w:val="000000"/>
          <w:sz w:val="24"/>
          <w:szCs w:val="24"/>
        </w:rPr>
        <w:t xml:space="preserve"> </w:t>
      </w:r>
      <w:r w:rsidRPr="00D81973">
        <w:rPr>
          <w:color w:val="000000"/>
          <w:sz w:val="24"/>
          <w:szCs w:val="24"/>
        </w:rPr>
        <w:t>по решению вопросов в сфере социальной защиты населения и здравоохранения.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В систему социального обслуживания населения Сосновоборского городского округа входят филиал областного казенного учреждения «Центр социальной защиты населения» (ЛОГКУ «ЦСЗН») и учреждение областного подчинения ЛОГАУ «Сосновоборский многопрофильный реабилитационный центр» (ЛОГАУ «Сосновоборский МРЦ»).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связи с высокой востребованностью мер социальной поддержки и социальных услуг за счет средств бюджета муниципального образования Сосновоборский городской округ финансируется муниципальная программа «Медико-социальная поддержка отдельных категорий граждан в Сосновоборском городском округе на 2014-2030 годы». В 2026 году планируется выполнение муниципальной программы «Медико-социальная поддержка отдельных категорий граждан в Сосновоборском городском округе на 2014-2030 годы»</w:t>
      </w:r>
      <w:r w:rsidRPr="00D81973">
        <w:rPr>
          <w:bCs/>
          <w:color w:val="000000"/>
          <w:sz w:val="24"/>
          <w:szCs w:val="24"/>
        </w:rPr>
        <w:t xml:space="preserve"> на о</w:t>
      </w:r>
      <w:r w:rsidRPr="00D81973">
        <w:rPr>
          <w:color w:val="000000"/>
          <w:sz w:val="24"/>
          <w:szCs w:val="24"/>
        </w:rPr>
        <w:t xml:space="preserve">бщую сумму 15172,54418 тыс. руб. </w:t>
      </w:r>
      <w:r w:rsidRPr="00D81973">
        <w:rPr>
          <w:rFonts w:eastAsia="Calibri"/>
          <w:color w:val="000000"/>
          <w:sz w:val="24"/>
          <w:szCs w:val="24"/>
          <w:lang w:eastAsia="en-US"/>
        </w:rPr>
        <w:t>Муниципальная программа</w:t>
      </w:r>
      <w:r w:rsidRPr="00D81973">
        <w:rPr>
          <w:color w:val="000000"/>
          <w:sz w:val="24"/>
          <w:szCs w:val="24"/>
        </w:rPr>
        <w:t xml:space="preserve"> </w:t>
      </w:r>
      <w:r w:rsidRPr="00D81973">
        <w:rPr>
          <w:rFonts w:eastAsia="Calibri"/>
          <w:color w:val="000000"/>
          <w:sz w:val="24"/>
          <w:szCs w:val="24"/>
          <w:lang w:eastAsia="en-US"/>
        </w:rPr>
        <w:t xml:space="preserve">состоит из 5 </w:t>
      </w:r>
      <w:r w:rsidRPr="00D81973">
        <w:rPr>
          <w:color w:val="000000"/>
          <w:sz w:val="24"/>
          <w:szCs w:val="24"/>
        </w:rPr>
        <w:t>комплексов процессных мероприятий</w:t>
      </w:r>
      <w:r w:rsidRPr="00D81973">
        <w:rPr>
          <w:rFonts w:eastAsia="Calibri"/>
          <w:color w:val="000000"/>
          <w:sz w:val="24"/>
          <w:szCs w:val="24"/>
          <w:lang w:eastAsia="en-US"/>
        </w:rPr>
        <w:t xml:space="preserve">: «Защита», «Организация работы с детьми, находящимися в </w:t>
      </w:r>
      <w:r w:rsidRPr="00D81973">
        <w:rPr>
          <w:rFonts w:eastAsia="Calibri"/>
          <w:color w:val="000000"/>
          <w:sz w:val="24"/>
          <w:szCs w:val="24"/>
          <w:lang w:eastAsia="en-US"/>
        </w:rPr>
        <w:lastRenderedPageBreak/>
        <w:t>социально опасном положении, в Сосновоборском городском округе», «Формирование доступной среды жизнедеятельности для инвалидов и других маломобильных групп населения в Сосновоборском городском округе», «</w:t>
      </w:r>
      <w:r w:rsidRPr="00D81973">
        <w:rPr>
          <w:color w:val="000000"/>
          <w:sz w:val="24"/>
          <w:szCs w:val="24"/>
        </w:rPr>
        <w:t>Укрепление общественного здоровья в Сосновоборском городском округе</w:t>
      </w:r>
      <w:r w:rsidRPr="00D81973">
        <w:rPr>
          <w:rFonts w:eastAsia="Calibri"/>
          <w:color w:val="000000"/>
          <w:sz w:val="24"/>
          <w:szCs w:val="24"/>
          <w:lang w:eastAsia="en-US"/>
        </w:rPr>
        <w:t>», «</w:t>
      </w:r>
      <w:r w:rsidRPr="00D81973">
        <w:rPr>
          <w:color w:val="000000"/>
          <w:sz w:val="24"/>
          <w:szCs w:val="24"/>
        </w:rPr>
        <w:t>Субсидии на финансовую поддержку социально ориентированным некоммерческим организациям ветеранов и инвалидов</w:t>
      </w:r>
      <w:r w:rsidRPr="00D81973">
        <w:rPr>
          <w:rFonts w:eastAsia="Calibri"/>
          <w:color w:val="000000"/>
          <w:sz w:val="24"/>
          <w:szCs w:val="24"/>
          <w:lang w:eastAsia="en-US"/>
        </w:rPr>
        <w:t>».</w:t>
      </w:r>
      <w:r w:rsidRPr="00D81973">
        <w:rPr>
          <w:color w:val="000000"/>
          <w:sz w:val="24"/>
          <w:szCs w:val="24"/>
        </w:rPr>
        <w:t xml:space="preserve">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Все учреждения здравоохранения и социального обслуживания оборудованы пандусами в соответствии требованиям для лиц с ограниченными возможностями.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В рамках </w:t>
      </w:r>
      <w:r w:rsidRPr="00D81973">
        <w:rPr>
          <w:color w:val="000000"/>
          <w:sz w:val="24"/>
          <w:szCs w:val="24"/>
        </w:rPr>
        <w:t>комплекса процессных мероприятий</w:t>
      </w:r>
      <w:r w:rsidRPr="00D81973">
        <w:rPr>
          <w:rFonts w:eastAsia="Calibri"/>
          <w:color w:val="000000"/>
          <w:sz w:val="24"/>
          <w:szCs w:val="24"/>
        </w:rPr>
        <w:t xml:space="preserve"> «</w:t>
      </w:r>
      <w:r w:rsidRPr="00D81973">
        <w:rPr>
          <w:color w:val="000000"/>
          <w:sz w:val="24"/>
          <w:szCs w:val="24"/>
        </w:rPr>
        <w:t>Субсидии на финансовую поддержку социально ориентированным некоммерческим организациям ветеранов и инвалидов</w:t>
      </w:r>
      <w:r w:rsidRPr="00D81973">
        <w:rPr>
          <w:rFonts w:eastAsia="Calibri"/>
          <w:color w:val="000000"/>
          <w:sz w:val="24"/>
          <w:szCs w:val="24"/>
        </w:rPr>
        <w:t xml:space="preserve">» осуществляется, в том числе финансирование уставной деятельности социально ориентированных некоммерческих организаций, а именно: Сосновоборская городская организация ЛООО "Всероссийское общество инвалидов", Сосновоборский городской совет ветеранов войны, труда и правоохранительных органов, Ручьевский филиал Всероссийского общества слепых (ВОС), Сосновоборское </w:t>
      </w:r>
      <w:r w:rsidRPr="00D81973">
        <w:rPr>
          <w:rFonts w:eastAsia="Calibri"/>
          <w:bCs/>
          <w:color w:val="000000"/>
          <w:sz w:val="24"/>
          <w:szCs w:val="24"/>
        </w:rPr>
        <w:t>городское</w:t>
      </w:r>
      <w:r w:rsidRPr="00D81973">
        <w:rPr>
          <w:rFonts w:eastAsia="Calibri"/>
          <w:color w:val="000000"/>
          <w:sz w:val="24"/>
          <w:szCs w:val="24"/>
        </w:rPr>
        <w:t xml:space="preserve"> отделение Ленинградского областного отделения Общероссийской общественной организации инвалидов Союз «Чернобыль» России, Сосновоборское городское отделение Ленинградской Региональной организации ООО «Российский Союз Ветеранов Афганистана («РСВА»).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Отделом социальных программ администрации организуются праздничные мероприятия, посвященные международному Дню пожилого человека, международному Дню инвалида, Дню Матери, Новому году и т.п.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В сфере модернизации системы оказания социальной помощи населению осуществляется: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оптимизация административных регламентов путем увеличения межведомственного взаимодействия для получения информации, необходимой при оказании муниципальных услуг;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реализация областного закона от 17.11.2017 N 72-оз "Социальный кодекс Ленинградской области».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Прогноз на 2027-2029 годы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Повышение качества муниципальных услуг, повышение уровня и качества жизни населения Сосновоборского городского округа Ленинградской области. Решение этих задач планируется в рамках реализации муниципальной программы «Медико-социальная поддержка отдельных категорий граждан в Сосновоборском городском округе на 2014-2030 годы».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8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Здравоохранение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Ожидаемые итоги 2026 года: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2026 году в системе здравоохранения Сосновоборского городского округа   сохраняется существующая структура, охватывающая все необходимые направления деятельности: лечебно-профилактическая, фармакологическая, санитарно-эпидемиологическая. В  систему здравоохранения города входят: Федеральное государственное бюджетное учреждение здравоохранения Центральная медико-санитарная часть № 38 Федерального медико-биологического агентства (ФГБУЗ ЦМСЧ № 38 ФМБА России), санаторий-профилакторий «Копанское» филиала концерна «Росэнергоатом» «ЛАС»; 12 здравпунктов на предприятиях; 17 аптек и 20 аптечных пунктов; 14 частнопрактикующих медицинских учреждений (стоматологические: «Элефант», «КЭС «СБорДент», «Сонет», «АСДдент», медицинские центры: «Здоровье», «Медлайн» ООО «Положительный фактор», «Панацея», «Меридиан» («Дантист»), «Центр медицинских анализов», «Центр семейной медицины «ТИТАНМЕД», Центр нейротерапии «МедиКО», «Новый взгляд», «Очкарик+», «УЗИст»). На территории Сосновоборского городского округа имеют представительства страховые медицинские организаций АО «СК «СОГАЗ-Мед», ООО «Капитал - МС», работающие в система обязательного медицинского страхования (ОМС).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>Контроль за санитарно-эпидемиологическим состоянием города осуществляют: Территориальный отдел Межрегионального управления № 122 ФМБА России по г.Сосновый Бор Ленинградской области, Федеральное государственное бюджетное учреждение здравоохранения Центр гигиены и эпидемиологии № 38 ФМБА России.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 соответствии с Федеральным законом от 18.10.2007 г. № 230-ФЗ «О внесении изменений в отдельные законодательные акты Российской Федерации в связи с совершенствованием разграничения полномочий» и распоряжением Правительства РФ № 1156-р от 21.08.2006 «Об утверждении перечня организаций и перечня территорий, подлежащих обслуживанию ФМБА России» медицинскую помощь работникам прикрепленных организаций и всему населению Сосновоборского городского округа оказывает ФГБУЗ ЦМСЧ № 38 ФМБА России, финансируемое за счет средств федерального бюджета и Фонда обязательного медицинского страхования. ФГБУЗ ЦМСЧ № 38 ФМБА России является многопрофильным лечебно-профилактическим учреждением, имеет право осуществлять экспертную, фармацевтическую деятельность и деятельность, связанную с оборотом наркотических средств и психотропных веществ. В ФГБУЗ ЦМСЧ № 38 ФМБА России реализован проект «Бережливая поликлиника», открыт Центр промышленной медицины, внедрен электронный документооборот: электронные медицинские карты, электронные листки нетрудоспособности. </w:t>
      </w:r>
      <w:r w:rsidRPr="00D81973">
        <w:rPr>
          <w:color w:val="000000"/>
          <w:sz w:val="24"/>
          <w:szCs w:val="24"/>
          <w:shd w:val="clear" w:color="auto" w:fill="FFFFFF"/>
        </w:rPr>
        <w:t>Развивается система реабилитации на базе детской поликлиники.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Потребности коечного фонда для оказания специализированной и высокотехнологичной медицинской помощи компенсируются в</w:t>
      </w:r>
      <w:r w:rsidRPr="00D81973">
        <w:rPr>
          <w:snapToGrid w:val="0"/>
          <w:color w:val="000000"/>
          <w:sz w:val="24"/>
          <w:szCs w:val="24"/>
        </w:rPr>
        <w:t xml:space="preserve"> соответствии с территориальной программой </w:t>
      </w:r>
      <w:r w:rsidRPr="00D81973">
        <w:rPr>
          <w:color w:val="000000"/>
          <w:sz w:val="24"/>
          <w:szCs w:val="24"/>
        </w:rPr>
        <w:t xml:space="preserve">государственных гарантий бесплатного оказания гражданам медицинской помощи в Ленинградской области маршрутизацией в областные и федеральные медицинские учреждения.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Сосновоборском городском округе за счет средств областного бюджета с 2016 г. функционирует кабинет спортивной медицины (областного подчинения) в объеме 0,5 ставки спортивного врача и 0,5 ставки медицинской сестры.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За счет средств муниципального бюджета Сосновоборского городского округа финансируется муниципальная программа «Медико-социальная поддержка отдельных категорий граждан в Сосновоборском городском округе на 2014 – 2030 годы».  Комплекс процессных мероприятий «Укрепление общественного здоровья в Сосновоборском городском округе» направлен на получение населением города квалифицированных и бесплатных профилактических медицинских услуг сверх </w:t>
      </w:r>
      <w:r w:rsidRPr="00D81973">
        <w:rPr>
          <w:snapToGrid w:val="0"/>
          <w:color w:val="000000"/>
          <w:sz w:val="24"/>
          <w:szCs w:val="24"/>
        </w:rPr>
        <w:t xml:space="preserve">территориальной программы </w:t>
      </w:r>
      <w:r w:rsidRPr="00D81973">
        <w:rPr>
          <w:color w:val="000000"/>
          <w:sz w:val="24"/>
          <w:szCs w:val="24"/>
        </w:rPr>
        <w:t>государственных гарантий бесплатного оказания гражданам медицинской помощи в Ленинградской области, на формирование здорового образа жизни населения и осуществление дополнительных мер защиты, сохранения и укрепления здоровья беременных женщин и детей, в том числе профилактическое мероприятие по укреплению здоровья детей – ЛФК в бассейне. С 2021 года включено финансирование Школы профилактики болезней системы кровообращения. В 2026 году общая сумма финансирования комплекса процессных мероприятий «Укрепление общественного здоровья в Сосновоборском городском округе» составляет 2 125,0</w:t>
      </w:r>
      <w:r w:rsidRPr="00D81973">
        <w:rPr>
          <w:b/>
          <w:color w:val="000000"/>
          <w:sz w:val="24"/>
          <w:szCs w:val="24"/>
        </w:rPr>
        <w:t xml:space="preserve"> </w:t>
      </w:r>
      <w:r w:rsidRPr="00D81973">
        <w:rPr>
          <w:color w:val="000000"/>
          <w:sz w:val="24"/>
          <w:szCs w:val="24"/>
        </w:rPr>
        <w:t xml:space="preserve">тыс. руб.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 целью</w:t>
      </w:r>
      <w:r w:rsidRPr="00D81973">
        <w:rPr>
          <w:color w:val="000000"/>
          <w:sz w:val="24"/>
          <w:szCs w:val="24"/>
          <w:lang w:eastAsia="en-US"/>
        </w:rPr>
        <w:t xml:space="preserve"> </w:t>
      </w:r>
      <w:r w:rsidRPr="00D81973">
        <w:rPr>
          <w:color w:val="000000"/>
          <w:sz w:val="24"/>
          <w:szCs w:val="24"/>
        </w:rPr>
        <w:t xml:space="preserve">привлечения кадров в ФГБУЗ ЦМСЧ № 38 ФМБА России за счет средств бюджета муниципального образования Сосновоборский городской округ осуществляется выплата разового пособия молодым специалистам – работникам ФГБУЗ ЦМСЧ № 38 ФМБА России.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  <w:lang w:eastAsia="en-US"/>
        </w:rPr>
      </w:pPr>
      <w:r w:rsidRPr="00D81973">
        <w:rPr>
          <w:b/>
          <w:bCs/>
          <w:color w:val="000000"/>
          <w:sz w:val="24"/>
          <w:szCs w:val="24"/>
          <w:lang w:eastAsia="en-US"/>
        </w:rPr>
        <w:t>Прогноз на 2027-2029 годы.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Для достижения целей, стоящих перед администрацией Сосновоборского городского округа – совершенствование системы и оказание мер медико-социальной поддержки отдельных категорий граждан, необходимо решить ряд задач в сфере здравоохранения, актуальных в указанный период времени, характеризующийся дефицитом кадрового состава в ФГБУЗ ЦМСЧ № 38 ФМБА России: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1. Обеспечение населения Сосновоборского городского округа доступными и бесплатными медицинскими услугами в рамках первичной медико-санитарной помощи по </w:t>
      </w:r>
      <w:r w:rsidRPr="00D81973">
        <w:rPr>
          <w:color w:val="000000"/>
          <w:sz w:val="24"/>
          <w:szCs w:val="24"/>
        </w:rPr>
        <w:lastRenderedPageBreak/>
        <w:t>направлениям, не финансируемым из средств обязательного медицинского страхования и федерального бюджета, и медицинскими препаратами из перечня дополнительного лекарственного обеспечения.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2. Проведение мероприятий, направленных на формирование здорового образа жизни.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3. Создание комплекса дополнительных мер, направленных на защиту, сохранение и укрепление здоровья беременных женщин и детей.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Решение этих задач планируется в рамках реализации муниципальной программы «Медико-социальная поддержка отдельных категорий граждан в Сосновоборском городском округе на 2014 – 2030 годы», комплексов процессных мероприятий «Защита» и «Укрепление общественного здоровья в Сосновоборском городском округе».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Основные направления работы в сфере здравоохранения в 2027-2029 годах: сохранение и укрепление здоровья населения, охрана здоровья матери и ребенка; увеличение роли профилактики заболеваний и формирование здорового образа жизни.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На 2026 год в структуре ФГБУЗ ЦМСЧ № 38 ФМБА России: две поликлиники – городская (взрослая) и детская на 1092 посещения в смену; стационар на 302 круглосуточных койки, стационар дневного пребывания на 30 коек.  На 2027 - 2029 годы в ФГБУЗ ЦМСЧ № 38 ФМБА России планируется сохранение существующей структуры и восполнение дефицита кадров.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Для привлечения на работу в ФГБУЗ ЦМСЧ № 38 ФМБА России медицинских, в том числе высококвалифицированных кадров администрацией Сосновоборского городского округа предоставляется служебное жилье.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8"/>
        <w:jc w:val="both"/>
        <w:rPr>
          <w:color w:val="000000"/>
          <w:sz w:val="24"/>
          <w:szCs w:val="24"/>
        </w:rPr>
      </w:pPr>
    </w:p>
    <w:tbl>
      <w:tblPr>
        <w:tblW w:w="96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5074"/>
      </w:tblGrid>
      <w:tr w:rsidR="00D81973" w:rsidRPr="00667059" w:rsidTr="00AA1D5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Основные проблемы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Предполагаемые пути решения</w:t>
            </w:r>
          </w:p>
        </w:tc>
      </w:tr>
      <w:tr w:rsidR="00D81973" w:rsidRPr="00667059" w:rsidTr="00AA1D5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1.Кадровое обеспечение медицинских организаций, оказывающих первичную медико-санитарную помощь. Недостаток молодых специалистов, высокий процент лиц пенсионного и предпенсионного возраста в медицине. Потребность в обеспечении жильем медперсонала.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Выплата разового пособия молодым специалистам – работникам ФГБУЗ ЦМСЧ № 38 ФМБА России. Предоставление служебного жилья.</w:t>
            </w:r>
          </w:p>
        </w:tc>
      </w:tr>
      <w:tr w:rsidR="00D81973" w:rsidRPr="00667059" w:rsidTr="00AA1D5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 Необходимость обновления медицинского оборудования.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Обращение в ФМБА России о выделении ФГБУЗ ЦМСЧ № 38 ФМБА России дополнительного финансирования. </w:t>
            </w:r>
          </w:p>
        </w:tc>
      </w:tr>
    </w:tbl>
    <w:p w:rsidR="00D81973" w:rsidRPr="00D81973" w:rsidRDefault="00D81973" w:rsidP="00D81973">
      <w:pPr>
        <w:pStyle w:val="2"/>
        <w:shd w:val="clear" w:color="auto" w:fill="FFFFFF"/>
        <w:ind w:firstLine="709"/>
        <w:rPr>
          <w:color w:val="000000"/>
          <w:szCs w:val="24"/>
        </w:rPr>
      </w:pPr>
      <w:bookmarkStart w:id="28" w:name="_Toc16152565"/>
      <w:bookmarkStart w:id="29" w:name="_Toc22295292"/>
    </w:p>
    <w:p w:rsidR="00D81973" w:rsidRPr="00D81973" w:rsidRDefault="00D81973" w:rsidP="00D81973">
      <w:pPr>
        <w:pStyle w:val="2"/>
        <w:shd w:val="clear" w:color="auto" w:fill="FFFFFF"/>
        <w:ind w:firstLine="709"/>
        <w:rPr>
          <w:color w:val="000000"/>
          <w:szCs w:val="24"/>
        </w:rPr>
      </w:pPr>
      <w:bookmarkStart w:id="30" w:name="_Toc242279727"/>
      <w:r w:rsidRPr="00D81973">
        <w:rPr>
          <w:color w:val="000000"/>
          <w:szCs w:val="24"/>
        </w:rPr>
        <w:t>3.3. Культура</w:t>
      </w:r>
      <w:bookmarkEnd w:id="28"/>
      <w:bookmarkEnd w:id="29"/>
      <w:bookmarkEnd w:id="30"/>
    </w:p>
    <w:p w:rsidR="00D81973" w:rsidRPr="00D81973" w:rsidRDefault="00D81973" w:rsidP="00D81973">
      <w:pPr>
        <w:pStyle w:val="21"/>
        <w:shd w:val="clear" w:color="auto" w:fill="FFFFFF"/>
        <w:spacing w:after="0" w:line="24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</w:p>
    <w:bookmarkEnd w:id="24"/>
    <w:bookmarkEnd w:id="25"/>
    <w:p w:rsidR="00D81973" w:rsidRPr="00D81973" w:rsidRDefault="00D81973" w:rsidP="00D81973">
      <w:pPr>
        <w:shd w:val="clear" w:color="auto" w:fill="FFFFFF"/>
        <w:tabs>
          <w:tab w:val="left" w:pos="709"/>
          <w:tab w:val="left" w:pos="8800"/>
        </w:tabs>
        <w:ind w:left="360" w:right="424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Ожидаемые итоги 2026 года: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Сеть муниципальных учреждений культуры - 10 учреждений, останется неизменной. Функциональные особенности и специфика деятельности будут соответствовать полномочиям органов местного самоуправления по решению вопросов местного значения. 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9"/>
        <w:jc w:val="both"/>
        <w:rPr>
          <w:b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 2026 году в учреждениях культуры продолжат работать 15 работников культуры со званием «Заслуженный работник культуры Российской Федерации», 11 имеют нагрудный знак Министерства культуры Российской Федерации, 17 творческих коллективов имеют звание «Народный» и «Образцовый». 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Функционирование отрасли в 2026 году будет осуществляться в соответствии с Муниципальной программой «Развитие культуры и туризма Сосновоборского городского округа на 2019-2029 годы», которая включает в следующие комплексы процессных мероприятий: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1. «Библиотечное обслуживание и популяризация чтения»; 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lastRenderedPageBreak/>
        <w:t xml:space="preserve">2. «Сохранение и охрана культурного и исторического наследия Сосновоборского городского округа»; 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3. «Музейная деятельность»; </w:t>
      </w:r>
    </w:p>
    <w:p w:rsidR="00D81973" w:rsidRPr="00D81973" w:rsidRDefault="00D81973" w:rsidP="00D81973">
      <w:pPr>
        <w:shd w:val="clear" w:color="auto" w:fill="FFFFFF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4. «Профессиональное искусство, народное творчество и культурно-досуговая деятельность»; 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5. «Обеспечение реализации муниципальной программы»; 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6. Развитие различных видов туризма и туристской деятельности».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Работа в рамках вышеуказанной муниципальной программы позволит: </w:t>
      </w:r>
    </w:p>
    <w:p w:rsidR="00D81973" w:rsidRPr="00D81973" w:rsidRDefault="00D81973" w:rsidP="00D81973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 сохранить количество посещений Сосновоборской библиотеки; </w:t>
      </w:r>
    </w:p>
    <w:p w:rsidR="00D81973" w:rsidRPr="00D81973" w:rsidRDefault="00D81973" w:rsidP="00D81973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 сохранить долю объектов культурного наследия, находящихся в собственности Сосновоборского городского округа, состояние которых является удовлетворительным; </w:t>
      </w:r>
    </w:p>
    <w:p w:rsidR="00D81973" w:rsidRPr="00D81973" w:rsidRDefault="00D81973" w:rsidP="00D81973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 увеличить количество посещений Сосновоборского муниципального музея; </w:t>
      </w:r>
    </w:p>
    <w:p w:rsidR="00D81973" w:rsidRPr="00D81973" w:rsidRDefault="00D81973" w:rsidP="00D81973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 сохранить количество посещений культурно-массовых мероприятий; </w:t>
      </w:r>
    </w:p>
    <w:p w:rsidR="00D81973" w:rsidRPr="00D81973" w:rsidRDefault="00D81973" w:rsidP="00D81973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 увеличить численность участников творческих коллективов;</w:t>
      </w:r>
    </w:p>
    <w:p w:rsidR="00D81973" w:rsidRPr="00D81973" w:rsidRDefault="00D81973" w:rsidP="00D81973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 создать условия для увеличения туристского потока, формирования привлекательного имиджа Сосновоборского городского округа как комфортного и интересного туристского направления.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Продолжится работа по исполнению майских Указов Президента РФ, в том числе показателей установленной «дорожной карты».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567"/>
        <w:jc w:val="both"/>
        <w:rPr>
          <w:bCs/>
          <w:color w:val="000000"/>
          <w:sz w:val="24"/>
          <w:szCs w:val="24"/>
        </w:rPr>
      </w:pPr>
      <w:r w:rsidRPr="00D81973">
        <w:rPr>
          <w:bCs/>
          <w:color w:val="000000"/>
          <w:sz w:val="24"/>
          <w:szCs w:val="24"/>
        </w:rPr>
        <w:t xml:space="preserve">В 2026 году средняя </w:t>
      </w:r>
      <w:r w:rsidRPr="00D81973">
        <w:rPr>
          <w:bCs/>
          <w:color w:val="000000"/>
          <w:sz w:val="24"/>
          <w:szCs w:val="24"/>
          <w:shd w:val="clear" w:color="auto" w:fill="FFFFFF"/>
        </w:rPr>
        <w:t xml:space="preserve">заработная плата педагогических работников учреждений дополнительного образования запланирована в размере не менее </w:t>
      </w:r>
      <w:r w:rsidRPr="00D81973">
        <w:rPr>
          <w:color w:val="000000"/>
          <w:sz w:val="24"/>
          <w:szCs w:val="24"/>
        </w:rPr>
        <w:t xml:space="preserve">75,24800 тыс. руб. </w:t>
      </w:r>
      <w:r w:rsidRPr="00D81973">
        <w:rPr>
          <w:bCs/>
          <w:color w:val="000000"/>
          <w:sz w:val="24"/>
          <w:szCs w:val="24"/>
        </w:rPr>
        <w:t xml:space="preserve">Средняя заработная плата работников культуры на 2026 год запланирована в размере не менее </w:t>
      </w:r>
      <w:r w:rsidRPr="00D81973">
        <w:rPr>
          <w:color w:val="000000"/>
          <w:sz w:val="24"/>
          <w:szCs w:val="24"/>
        </w:rPr>
        <w:t>75,26300 тыс. руб</w:t>
      </w:r>
      <w:r w:rsidRPr="00D81973">
        <w:rPr>
          <w:bCs/>
          <w:color w:val="000000"/>
          <w:sz w:val="24"/>
          <w:szCs w:val="24"/>
        </w:rPr>
        <w:t xml:space="preserve">.  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D81973">
        <w:rPr>
          <w:bCs/>
          <w:color w:val="000000"/>
          <w:sz w:val="24"/>
          <w:szCs w:val="24"/>
        </w:rPr>
        <w:t>В 2026 году учреждения продолжат работать</w:t>
      </w:r>
      <w:r w:rsidRPr="00D81973">
        <w:rPr>
          <w:b/>
          <w:bCs/>
          <w:color w:val="000000"/>
          <w:sz w:val="24"/>
          <w:szCs w:val="24"/>
        </w:rPr>
        <w:t xml:space="preserve"> </w:t>
      </w:r>
      <w:r w:rsidRPr="00D81973">
        <w:rPr>
          <w:bCs/>
          <w:color w:val="000000"/>
          <w:sz w:val="24"/>
          <w:szCs w:val="24"/>
        </w:rPr>
        <w:t xml:space="preserve">в соответствии с </w:t>
      </w:r>
      <w:r w:rsidRPr="00D81973">
        <w:rPr>
          <w:color w:val="000000"/>
          <w:sz w:val="24"/>
          <w:szCs w:val="24"/>
        </w:rPr>
        <w:t>критериями и показателями эффективности и результативности деятельности муниципальных учреждений и их руководителей, в соответствии с Постановлением администрации от 29.07.2011 № 1318 (с изменениями).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8"/>
        <w:jc w:val="both"/>
        <w:rPr>
          <w:b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 плане реализации Федерального закона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изменения типа существующих муниципальных учреждений не ожидается, планируется что в 2026 году 4 учреждения сохранят статус автономных, 6 – бюджетных. 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8"/>
        <w:jc w:val="both"/>
        <w:rPr>
          <w:rFonts w:eastAsia="Century Schoolbook"/>
          <w:color w:val="000000"/>
          <w:sz w:val="24"/>
          <w:szCs w:val="24"/>
          <w:lang w:eastAsia="en-US"/>
        </w:rPr>
      </w:pPr>
      <w:r w:rsidRPr="00D81973">
        <w:rPr>
          <w:rFonts w:eastAsia="Century Schoolbook"/>
          <w:color w:val="000000"/>
          <w:sz w:val="24"/>
          <w:szCs w:val="24"/>
          <w:lang w:eastAsia="en-US"/>
        </w:rPr>
        <w:t xml:space="preserve">Продолжится работа по сохранению и развитию творческого потенциала населения, системы художественного образования, совершенствование деятельности библиотек, укрепление материально-технической базы учреждений культуры. 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20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целях развития различных видов туризма и туристской деятельности на территории Сосновоборского городского округа,</w:t>
      </w:r>
      <w:r w:rsidRPr="00D81973">
        <w:rPr>
          <w:b/>
          <w:color w:val="000000"/>
          <w:sz w:val="24"/>
          <w:szCs w:val="24"/>
        </w:rPr>
        <w:t xml:space="preserve"> </w:t>
      </w:r>
      <w:r w:rsidRPr="00D81973">
        <w:rPr>
          <w:color w:val="000000"/>
          <w:sz w:val="24"/>
          <w:szCs w:val="24"/>
        </w:rPr>
        <w:t>разработки и реализации механизмов муниципальной поддержки сферы туризма, а также привлечения внебюджетных средств, формирования имиджа городского округа как территории, благоприятной для туризма, а также повышения известности округа в качестве территории, удовлетворяющей интересы разных целевых аудиторий, увеличения числа первых и повторных посещений территории округа, увеличения доходов местного бюджета, в 2026 году планируется к реализации проведение традиционного фестиваля старинной музыки и танца «Саммерфест».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20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 рамках нацпроекта «Семья» регионального проекта «Семейные ценности и инфраструктура культуры» в 2026 году будет реализовано мероприятие «Создание муниципальной модельной библиотеки» на базе центральной детской библиотеки «Лоцман» МБУ «Сосновоборская ЦБС» по пр. Героев, д. 5. Общий объем финансирования – 18987,340 </w:t>
      </w:r>
      <w:r w:rsidRPr="00D81973">
        <w:rPr>
          <w:color w:val="000000"/>
          <w:sz w:val="24"/>
          <w:szCs w:val="24"/>
        </w:rPr>
        <w:lastRenderedPageBreak/>
        <w:t>тыс. руб. В том числе федеральный и областной бюджет – 15000,000 тыс. руб. Мероприятие включает в себя текущий ремонт, комплектование книжных фондов, повышение квалификации сотрудников библиотеки, создание современного библиотечного пространства (приобретение мебели и оборудования в соответствии с дизайн-проектом). Торжественное открытие запланировано на сентябрь 2026 года.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8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spacing w:line="276" w:lineRule="auto"/>
        <w:ind w:firstLine="708"/>
        <w:jc w:val="both"/>
        <w:rPr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Прогноз на 2027-2029 годы.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Сеть учреждений культуры планируется сохранить на прежнем уровне. Количество учреждений культуры составит 10 муниципальных учреждений, из которых будет 6 бюджетных и 4 автономных. Населению будут предложены услуги, в соответствии с утвержденным перечнем муниципальных услуг.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Контингент школ дополнительного образования детей МБУ ДО «СДШИ «Балтика», МБУ ДО «СДШИ им. О.А. Кипренского» не будет превышать установленной квоты в муниципальном задании.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Будет продолжать работать муниципальная программа «Развитие культуры и туризма Сосновоборского городского округа на 2019-2029 годы», утвержденная постановлением администрации Сосновоборского городского округа от 24.09.2018 № 2165 (с изменениями). Реализация муниципальной программы позволит выполнить следующие задачи:</w:t>
      </w:r>
    </w:p>
    <w:p w:rsidR="00D81973" w:rsidRPr="00D81973" w:rsidRDefault="00D81973" w:rsidP="00D81973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повышение обеспеченности населения Сосновоборского городского округа услугами библиотек и приобщение населения Сосновоборского городского округа к чтению;</w:t>
      </w:r>
    </w:p>
    <w:p w:rsidR="00D81973" w:rsidRPr="00D81973" w:rsidRDefault="00D81973" w:rsidP="00D81973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сохранение, охрана и популяризация объектов культурного наследия, находящихся на территории Сосновоборского городского округа;</w:t>
      </w:r>
    </w:p>
    <w:p w:rsidR="00D81973" w:rsidRPr="00D81973" w:rsidRDefault="00D81973" w:rsidP="00D81973">
      <w:pPr>
        <w:shd w:val="clear" w:color="auto" w:fill="FFFFFF"/>
        <w:spacing w:line="276" w:lineRule="auto"/>
        <w:ind w:left="4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повышение посещаемости муниципального музея Сосновоборского городского округа;</w:t>
      </w:r>
    </w:p>
    <w:p w:rsidR="00D81973" w:rsidRPr="00D81973" w:rsidRDefault="00D81973" w:rsidP="00D81973">
      <w:pPr>
        <w:numPr>
          <w:ilvl w:val="0"/>
          <w:numId w:val="4"/>
        </w:numPr>
        <w:shd w:val="clear" w:color="auto" w:fill="FFFFFF"/>
        <w:spacing w:line="276" w:lineRule="auto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повышение доступности профессионального искусства и культурно-досуговых услуг для жителей Сосновоборского городского округа</w:t>
      </w:r>
    </w:p>
    <w:p w:rsidR="00D81973" w:rsidRPr="00D81973" w:rsidRDefault="00D81973" w:rsidP="00D81973">
      <w:pPr>
        <w:numPr>
          <w:ilvl w:val="0"/>
          <w:numId w:val="4"/>
        </w:numPr>
        <w:shd w:val="clear" w:color="auto" w:fill="FFFFFF"/>
        <w:spacing w:line="276" w:lineRule="auto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создание условий для увеличения туристского потока, формирования привлекательного имиджа Сосновоборского городского округа как комфортного и интересного туристского направления.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20"/>
        <w:jc w:val="both"/>
        <w:rPr>
          <w:b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целях развития различных видов туризма и туристской деятельности на территории Сосновоборского городского округа,</w:t>
      </w:r>
      <w:r w:rsidRPr="00D81973">
        <w:rPr>
          <w:b/>
          <w:color w:val="000000"/>
          <w:sz w:val="24"/>
          <w:szCs w:val="24"/>
        </w:rPr>
        <w:t xml:space="preserve"> </w:t>
      </w:r>
      <w:r w:rsidRPr="00D81973">
        <w:rPr>
          <w:color w:val="000000"/>
          <w:sz w:val="24"/>
          <w:szCs w:val="24"/>
        </w:rPr>
        <w:t>разработки и реализации механизмов муниципальной поддержки сферы туризма, а также привлечения внебюджетных средств, формирования имиджа городского округа как территории, благоприятной для туризма, а также повышения известности округа в качестве территории, удовлетворяющей интересы разных целевых аудиторий, увеличения числа первых и повторных посещений территории округа, увеличения доходов местного бюджета, планируется продолжать реализовывать следующие мероприятия: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Продвижение туристического продукта Сосновоборского городского округа – участие в туристических выставках со стендами и презентациями туристических объектов Соснового Бора;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Изготовление буклетов с достопримечательностями Соснового Бора;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Развитие международных отношений с городами-побратимами;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Создание информационно-туристского центра для предоставления туристам наиболее полной информации о Сосновоборском городском округе, его достопримечательностях, туристических возможностях и культурных событиях.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 2027 году планируется реализация мероприятия «Оснащение образовательных учреждений в сфере культуры (детские школы искусств и училища) музыкальными </w:t>
      </w:r>
      <w:r w:rsidRPr="00D81973">
        <w:rPr>
          <w:color w:val="000000"/>
          <w:sz w:val="24"/>
          <w:szCs w:val="24"/>
        </w:rPr>
        <w:lastRenderedPageBreak/>
        <w:t>инструментами, оборудованием и учебными материалами» в рамках нацпроекта «Семья» регионального проекта «Семейные ценности и инфраструктура культуры». В мероприятие включено МБУ ДО «СДШИ им. О.А. Кипренского» (помещение по ул. Ленинградская, д. 54). Общий объем финансирования – 7325,000 тыс. руб., в том числе федеральный и областной бюджет – 5860,000 тыс. руб. Планируется приобретение мебели, учебных пособий, муфельной печи, сушильного шкафа, МФУ формата А3.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Предполагается, что частные организации сохранят свои позиции в сфере досуговых услуг на прежнем уровне.</w:t>
      </w:r>
    </w:p>
    <w:p w:rsidR="00D81973" w:rsidRPr="00D81973" w:rsidRDefault="00D81973" w:rsidP="00D81973">
      <w:pPr>
        <w:shd w:val="clear" w:color="auto" w:fill="FFFFFF"/>
        <w:spacing w:line="276" w:lineRule="auto"/>
        <w:ind w:firstLine="708"/>
        <w:jc w:val="both"/>
        <w:rPr>
          <w:color w:val="000000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6095"/>
      </w:tblGrid>
      <w:tr w:rsidR="00D81973" w:rsidRPr="00667059" w:rsidTr="00AA1D5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Основные проблемы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Предполагаемые пути решения</w:t>
            </w:r>
          </w:p>
        </w:tc>
      </w:tr>
      <w:tr w:rsidR="00D81973" w:rsidRPr="00667059" w:rsidTr="00AA1D5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1. Потребность в помещениях для Сосновоборского музея. Отсутствие выставочного зала.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С целью решения этой проблемы планируется строительство городского краеведческого музея с сохранением элементов «Дома Петрова» по адресу г. Сосновый Бор, ул. Ленинградская, д.56б. В настоящее время осуществляется подготовка комплекта документов и заявка на включение в АИП Ленинградской области объекта «Сосновоборский городской краеведческий музей».</w:t>
            </w:r>
          </w:p>
        </w:tc>
      </w:tr>
      <w:tr w:rsidR="00D81973" w:rsidRPr="00667059" w:rsidTr="00AA1D5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2. Низкий уровень материально-технической оснащенности учреждений культуры (кулисы, свет, кресла в зрительном зале, отсутствие единой сценической площадки для проведения городских массовых праздников).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С целью решения этой проблемы в 2026 году ведется работа по формированию перечня потребности в рамках муниципальных учреждений для включения в заявку на выделение бюджетных средств на укрепление материально-технической базы учреждений в 2027-2029 годы.</w:t>
            </w:r>
          </w:p>
        </w:tc>
      </w:tr>
      <w:tr w:rsidR="00D81973" w:rsidRPr="00667059" w:rsidTr="00AA1D5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3. Необходимость работ по ремонту объектов учреждений культуры.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С целью решения этой проблемы в рамках реализации мероприятия «Развитие и модернизация учреждений культуры» в 2026 году запланированы ремонтные работы на сумму 4 150,4 тыс. руб., в том числе: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изготовление проектно-сметной документации на выполнение работ по теплоснабжению МБУ ДО «СДШИ им. О.А. Кипренского» ул. Ленинградская, д. 54 – 100,0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выполнение работ по ремонту кабинета № 12 МБУ ДО «СДШИ «Балтика» - 597,2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установка видеодомофона по ул. Ленинградская, д. 40 МАУК «ГКЦ «Арт-Карусель» - 82,3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изготовление дизайн-проекта для библиотеки по пр. Героев, д. 5 МБУ «СЦБС» - 585,0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комплекс работ по переносу оборудования существующей системы видеонаблюдения и системы экстренного оповещения со второго этажа на первый этаж помещений пр. Героев, д.5 МБУ «СЦБС» - 173,2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изготовление проектно-сметной документации и замена системы электроснабжения помещений пр. Героев, д. 5 МБУ «СЦБС» - 600,0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изготовление проектно-сметной документации и установка пожарной и охранной сигнализации, установка </w:t>
            </w:r>
            <w:r w:rsidRPr="00D81973">
              <w:rPr>
                <w:color w:val="000000"/>
                <w:sz w:val="24"/>
                <w:szCs w:val="24"/>
              </w:rPr>
              <w:lastRenderedPageBreak/>
              <w:t>система видеодомофона пр. Героев, д. 5 МБУ «СЦБС» – 1149,3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ремонт крыльца пр. Героев, д. 5 МБУ «СЦБС» - 205,0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разработка программы энергосбережения пр. Героев, д. 5 МБУ «СЦБС» - 56,7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облицовка стен огнестойкими и износоустойчивыми стекломагниевыми панелями в помещении по пр. Героев, д. 5 МБУ «Сосновоборская ЦБС- 64,6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изготовление световой вывески для МАУК «ГКЦ «Арт-Карусель» - 150,0 тыс. руб.;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- разработка проектной и сметной документации по разделам "Водоснабжение и водоотведение" и "Электроснабжение" для помещений по ул. Ленинградская, д. 54 МБУ ДО «СДШИ им. О.А. Кипренского» - 177,5 тыс. руб.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Проведение аварийно-восстановительных работ: ремонт аварийного участка системы отопления в органном зале и гардеробе, ремонтные работы по восстановлению стен и полов МАУК «ДК «Строитель» - 209,4 тыс. руб.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 рамках реализации проекта «Я планирую бюджет»  будет осуществлено благоустройство прилегающей территории (инициатива ЯПБ «Волшебный уголок») на сумму 3 млн. руб.</w:t>
            </w:r>
          </w:p>
        </w:tc>
      </w:tr>
    </w:tbl>
    <w:p w:rsidR="00D81973" w:rsidRPr="00D81973" w:rsidRDefault="00D81973" w:rsidP="00D81973">
      <w:pPr>
        <w:pStyle w:val="2"/>
        <w:shd w:val="clear" w:color="auto" w:fill="FFFFFF"/>
        <w:jc w:val="left"/>
        <w:rPr>
          <w:color w:val="000000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31" w:name="_Toc242279728"/>
      <w:r w:rsidRPr="00D81973">
        <w:rPr>
          <w:color w:val="000000"/>
          <w:szCs w:val="24"/>
        </w:rPr>
        <w:t>3.4. Физическая культура и спорт</w:t>
      </w:r>
      <w:bookmarkEnd w:id="31"/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keepNext/>
        <w:shd w:val="clear" w:color="auto" w:fill="FFFFFF"/>
        <w:ind w:firstLine="709"/>
        <w:rPr>
          <w:rFonts w:eastAsia="Calibri"/>
          <w:b/>
          <w:bCs/>
          <w:color w:val="000000"/>
          <w:sz w:val="24"/>
          <w:szCs w:val="24"/>
        </w:rPr>
      </w:pPr>
      <w:bookmarkStart w:id="32" w:name="_Toc270930061"/>
      <w:bookmarkStart w:id="33" w:name="_Toc16152567"/>
      <w:bookmarkEnd w:id="26"/>
      <w:bookmarkEnd w:id="27"/>
      <w:r w:rsidRPr="00D81973">
        <w:rPr>
          <w:rFonts w:eastAsia="Calibri"/>
          <w:b/>
          <w:bCs/>
          <w:color w:val="000000"/>
          <w:sz w:val="24"/>
          <w:szCs w:val="24"/>
        </w:rPr>
        <w:t xml:space="preserve">Ожидаемые итоги 2026 года: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1. Фактический прирост численности населения, систематически занимающегося физической культурой и спортом, на территории Сосновоборского городского округа ожидается благодаря: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- увеличению количества физкультурных мероприятий на территории Сосновоборского городского округа в раках реализации муниципальной программы «Физическая культура и спорт Сосновоборского городского округа на 2025-2030 годы»;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- увеличению количества организованных занятий физкультурно-оздоровительной и спортивной направленности по месту жительства населения на территории Сосновоборского городского округа в раках реализации муниципальной программы «Физическая культура и спорт Сосновоборского городского округа на 2025-2030 годы»;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- возможности посещения жителями и гостями города Сосновый Бор обновленных сезонных (летний сезон) спортивных площадок для занятий пляжными видами спорта (пляжный волейбол – 10 площадок, пляжный футбол – 1 площадка) на территории пляж Липово;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- возможности посещения жителями и гостями города Сосновый Бор современной открытой спортивной площадки для игр в баскетбол с тремя игровыми полями (для игр в баскетбол 5 на 5 и 3 на 3) (далее – спортивный объект). Спортивный объект расположен по адресу: г. Сосновый Бор, ул. Соколова, З/У №9;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- возможности посещения жителями и гостями города Сосновый Бор обновленного теннисного корта, в составе которого 6 полей для игры в теннис (далее – объект спорта).  Объект спорта расположен по адресу: г. Сосновый Бор, ул. Космонавтов, 26;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- возможности посещения обновленной всесезонной площадки для катания на коньках (зимний сезон), роликовых коньках и подвижных игр, огражденной хоккейным бортом </w:t>
      </w:r>
      <w:r w:rsidRPr="00D81973">
        <w:rPr>
          <w:rFonts w:eastAsia="Calibri"/>
          <w:color w:val="000000"/>
          <w:sz w:val="24"/>
          <w:szCs w:val="24"/>
        </w:rPr>
        <w:lastRenderedPageBreak/>
        <w:t>(размер 57 на 26) и защитным сетчатым ограждением. Всесезонная площадка расположена на территории МБОУ ДО «ДЮСШ» по адресу: ул. Солнечная, д.14а;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 - вовлечению несовершеннолетних в организованную физкультурно-спортивную деятельность по месту жительства посредством деятельности тренеров-общественников (заключены договоры на оказание услуг);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- продолжению реализации дополнительных образовательных программ спортивной подготовки (с 01.05.2023) по избранным видам спорта на базе муниципального автономного образовательного учреждения дополнительного образования спортивная школа «Малахит».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2. Создание малой спортивной площадки, оснащённой спортивно-технологическим оборудованием в рамках государственной программы Ленинградской области «Развитие физической культуры и спорта в Ленинградской области в 2025-2027 годах».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3. Увеличение количества физкультурно-спортивных мероприятий, проводимых на территории Сосновоборского городского округа, ожидается благодаря: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- включению дополнительных физкультурно-спортивных мероприятий в Календарный план физкультурных и спортивных мероприятий Сосновоборского городского округа на 2026 год;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- предоставлению спортивной инфраструктуры (объектов спорта) предприятиям Сосновоборского городского округа для проведения физкультурно-спортивных мероприятий среди трудовых коллективов;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- завершению запланированных мероприятий по профилактике и ремонтным работам на спортивных объектах: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- ремонт зала дзюдо МАОУ ДО СШ «Малахит» по адресу: ул. Ленинградская 5.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b/>
          <w:color w:val="000000"/>
          <w:sz w:val="24"/>
          <w:szCs w:val="24"/>
        </w:rPr>
      </w:pPr>
      <w:r w:rsidRPr="00D81973">
        <w:rPr>
          <w:rFonts w:eastAsia="Calibri"/>
          <w:b/>
          <w:color w:val="000000"/>
          <w:sz w:val="24"/>
          <w:szCs w:val="24"/>
        </w:rPr>
        <w:t xml:space="preserve">Прогноз на 2027 - 2029 годы.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1. Продолжение реализации муниципальной программы «Физическая культура и Сосновоборского городского округа на 2025-2030 годы».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2. Увеличение количества различных групп населения, занимающихся физической культурой и спортом, в том числе по месту жительства и повышение результатов спортсменов Сосновоборского городского округа в любительском и профессиональном спорте.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3. Создание для всех категорий и групп населения условий для занятий физической культурой и массовым спортом, в том числе повышение уровня материальной базы объектов спорта Сосновоборского городского округа.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4. Увеличение показателей: количество приступивших и количество выполнивших нормативы и требования Всероссийского физкультурно-спортивного комплекса «Готов к труду и обороне».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>5. Возникновение новых видов спорта на территории Сосновоборского городского округа и последующее их становление благодаря вводу в эксплуатацию и функционированию новых объектов спорта и объектов городской рекреационной инфраструктуры, приспособленных для занятий физической культурой и спортом.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rFonts w:eastAsia="Calibri"/>
          <w:color w:val="000000"/>
          <w:sz w:val="24"/>
          <w:szCs w:val="24"/>
        </w:rPr>
      </w:pP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3776"/>
      </w:tblGrid>
      <w:tr w:rsidR="00D81973" w:rsidRPr="00667059" w:rsidTr="00AA1D5B">
        <w:tc>
          <w:tcPr>
            <w:tcW w:w="5580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Основные проблемы</w:t>
            </w:r>
          </w:p>
        </w:tc>
        <w:tc>
          <w:tcPr>
            <w:tcW w:w="3776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Предполагаемые пути решения</w:t>
            </w:r>
          </w:p>
        </w:tc>
      </w:tr>
      <w:tr w:rsidR="00D81973" w:rsidRPr="00667059" w:rsidTr="00AA1D5B">
        <w:tc>
          <w:tcPr>
            <w:tcW w:w="5580" w:type="dxa"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</w:pPr>
            <w:r w:rsidRPr="00D81973"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  <w:t>1. Отсутствие ледовой арены.</w:t>
            </w:r>
          </w:p>
        </w:tc>
        <w:tc>
          <w:tcPr>
            <w:tcW w:w="3776" w:type="dxa"/>
            <w:vMerge w:val="restart"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rFonts w:eastAsia="Calibri"/>
                <w:color w:val="000000"/>
                <w:sz w:val="24"/>
                <w:szCs w:val="24"/>
                <w:lang w:eastAsia="en-US"/>
              </w:rPr>
              <w:t>Строительство необходимых спортивных объектов возможно при участии Государственной корпорации по атомной энергии «Росатом», а также путем участия в государственной программе Ленинградской области "Развитие физической культуры и спорта Ленинградской области".</w:t>
            </w:r>
          </w:p>
          <w:p w:rsidR="00D81973" w:rsidRPr="00D81973" w:rsidRDefault="00D81973" w:rsidP="00D81973">
            <w:pP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Предоставление служебного жилья для специалистов: работа в области физической культуры и спорта, адаптивного спорта и спорта для инвалидов.</w:t>
            </w:r>
          </w:p>
        </w:tc>
      </w:tr>
      <w:tr w:rsidR="00D81973" w:rsidRPr="00667059" w:rsidTr="00AA1D5B">
        <w:tc>
          <w:tcPr>
            <w:tcW w:w="5580" w:type="dxa"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</w:pPr>
            <w:r w:rsidRPr="00D81973"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  <w:t>2. Отсутствие плавательного бассейна с доступом для всех категорий населения и гостей Сосновоборского городского округа</w:t>
            </w:r>
          </w:p>
        </w:tc>
        <w:tc>
          <w:tcPr>
            <w:tcW w:w="3776" w:type="dxa"/>
            <w:vMerge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D81973" w:rsidRPr="00667059" w:rsidTr="00AA1D5B">
        <w:tc>
          <w:tcPr>
            <w:tcW w:w="5580" w:type="dxa"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</w:pPr>
            <w:r w:rsidRPr="00D81973"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  <w:t>3. Отсутствие крытых футбольного и легкоатлетического манежей для круглогодичных занятий (всесезонного пользования) физической культурой и спортом.</w:t>
            </w:r>
          </w:p>
        </w:tc>
        <w:tc>
          <w:tcPr>
            <w:tcW w:w="3776" w:type="dxa"/>
            <w:vMerge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D81973" w:rsidRPr="00667059" w:rsidTr="00AA1D5B">
        <w:tc>
          <w:tcPr>
            <w:tcW w:w="5580" w:type="dxa"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</w:pPr>
            <w:r w:rsidRPr="00D81973"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  <w:t xml:space="preserve">4. Нехватка спортивных залов на территории Сосновоборского городского округа (высокая плотность занятий (постоянная загрузка по </w:t>
            </w:r>
            <w:r w:rsidRPr="00D81973"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  <w:lastRenderedPageBreak/>
              <w:t xml:space="preserve">времени) с большим спросом на свободное время для занятий физической культурой и спортом).  </w:t>
            </w:r>
          </w:p>
        </w:tc>
        <w:tc>
          <w:tcPr>
            <w:tcW w:w="3776" w:type="dxa"/>
            <w:vMerge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D81973" w:rsidRPr="00667059" w:rsidTr="00AA1D5B">
        <w:tc>
          <w:tcPr>
            <w:tcW w:w="5580" w:type="dxa"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</w:pPr>
            <w:r w:rsidRPr="00D81973"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  <w:t>5. Нехватка специалистов для работы в области: спорт для инвалидов.</w:t>
            </w:r>
          </w:p>
        </w:tc>
        <w:tc>
          <w:tcPr>
            <w:tcW w:w="3776" w:type="dxa"/>
            <w:vMerge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D81973" w:rsidRPr="00667059" w:rsidTr="00AA1D5B">
        <w:tc>
          <w:tcPr>
            <w:tcW w:w="5580" w:type="dxa"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</w:pPr>
            <w:r w:rsidRPr="00D81973">
              <w:rPr>
                <w:rFonts w:eastAsia="Calibri"/>
                <w:color w:val="000000"/>
                <w:spacing w:val="1"/>
                <w:sz w:val="24"/>
                <w:szCs w:val="24"/>
                <w:lang w:eastAsia="en-US"/>
              </w:rPr>
              <w:t>6. Необходимость проведения ремонтных работ на открытых плоскостных сооружениях (спортивно-игровые площадки), расположенных на дворовых территориях.</w:t>
            </w:r>
          </w:p>
        </w:tc>
        <w:tc>
          <w:tcPr>
            <w:tcW w:w="3776" w:type="dxa"/>
            <w:vMerge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973" w:rsidRPr="00D81973" w:rsidRDefault="00D81973" w:rsidP="00D81973">
            <w:pP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D81973" w:rsidRPr="00D81973" w:rsidRDefault="00D81973" w:rsidP="00D81973">
      <w:pPr>
        <w:shd w:val="clear" w:color="auto" w:fill="FFFFFF"/>
        <w:tabs>
          <w:tab w:val="left" w:pos="709"/>
          <w:tab w:val="left" w:pos="8800"/>
        </w:tabs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34" w:name="_Toc242279729"/>
      <w:r w:rsidRPr="00D81973">
        <w:rPr>
          <w:color w:val="000000"/>
          <w:szCs w:val="24"/>
        </w:rPr>
        <w:t>3.5. Молодежная политика</w:t>
      </w:r>
      <w:bookmarkEnd w:id="32"/>
      <w:bookmarkEnd w:id="33"/>
      <w:bookmarkEnd w:id="34"/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8"/>
        <w:jc w:val="both"/>
        <w:rPr>
          <w:b/>
          <w:color w:val="000000"/>
          <w:sz w:val="24"/>
          <w:szCs w:val="24"/>
        </w:rPr>
      </w:pPr>
      <w:bookmarkStart w:id="35" w:name="_Toc270930062"/>
      <w:bookmarkStart w:id="36" w:name="_Toc16152568"/>
      <w:r w:rsidRPr="00D81973">
        <w:rPr>
          <w:b/>
          <w:color w:val="000000"/>
          <w:sz w:val="24"/>
          <w:szCs w:val="24"/>
        </w:rPr>
        <w:t>Ожидаемые итоги 2026 года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 xml:space="preserve">В 2026 году работа в сфере молодежной политики проводится </w:t>
      </w:r>
      <w:r w:rsidRPr="00D81973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в соответствии с </w:t>
      </w:r>
      <w:r w:rsidRPr="00D81973">
        <w:rPr>
          <w:rFonts w:eastAsia="Calibri"/>
          <w:color w:val="000000"/>
          <w:sz w:val="24"/>
          <w:szCs w:val="24"/>
          <w:lang w:eastAsia="en-US"/>
        </w:rPr>
        <w:t>муниципальной программой «Молодежная политика Сосновоборского городского округа на 2025-2029 годы» (далее – муниципальная программа).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В 2026 году в целях создания условий для эффективной реализации основных направлений молодежной политики и содействия самореализации молодых людей в возрасте от 14 до 35 лет на территории Сосновоборского городского округа осуществляет свою деятельность МАУ «Молодежный центр «Диалог».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В 2026 году продолжает действовать Молодежный совет при главе Сосновоборского городского округа, целями и задачами которого являются формирование устойчивой гражданско-нравственной позиции молодежи и привлечение ее к участию в общественно-политической, экономической жизни на территории города Сосновый Бор.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2026 году отделом по молодежной политике администрации Сосновоборского городского округа приведены в соответствие с федеральным законодательством нормативно-правовые акты, регламентирующие деятельность в сфере молодежной политики на территории Сосновоборского городского округа, а также ведется работа по переименованию муниципального автономного учреждения «Молодежный центр «Диалог» в муниципальное автономное учреждение молодежной политики «Молодежный центр «Диалог» и регистрации новой редакции Устава учреждения.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рамках Стратегии реализации молодежной политики в Российской Федерации на период до 2030 года, утвержденной распоряжением Правительства Российской Федерации от 17 августа 2024 года № 2233-р, в 2026 году разработан комплексный межведомственный план мероприятий («дорожная карта») по реализации молодежной политики на территории Сосновоборского городского округа на период до 2030 года.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2026 году запланировано торжественное открытие Центра общественного развития «Добро.Центр» на базе МАУ «Молодежный центр «Диалог», который станет инфраструктурой молодежной политики и будет способствовать поддержке, а также развитию добровольческих инициатив жителей Сосновоборского городского округа.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В 2026 году отдел по молодежной политике администрации Сосновоборского городского округа совместно с МАУ «Молодежный центр «Диалог» реализует мероприятия по достижению ключевых показателей национального проекта «Молодежь и дети».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В 2026 году в рамках выполнения муниципального задания МАУ «Молодежный центр «Диалог» запланировал организовать и провести не менее 183 мероприятий, из них: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1) 68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2) 56 мероприятий,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>3) 59 мероприятий, направленных на организацию досуга детей, подростков и молодежи.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Запланировано, что участниками мероприятий станут не менее 7918 жителей Сосновоборского городского округа.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В 2026 году в рамках муниципальной программы отделом по молодежной политике администрации Сосновоборского городского округа проводится работа по организации временного трудоустройства несовершеннолетних граждан в возрасте от 14 до 18 лет (далее – несовершеннолетние граждане) в летний период и свободное от учебы время совместно с комитетом по молодежной политике и комитетом по труду и занятости населения Ленинградской области, Сосновоборским филиалом ГКУ «Центр занятости населения Ленинградской области», муниципальными образовательными организации, учреждениями культуры, спорта и молодежной политики.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2026 году рабочие места для временного трудоустройства несовершеннолетних граждан в летний период и свободное от учебы время организованы на базе 16 муниципальных учреждений Сосновоборского городского округа: образования, культуры, спорта и молодежной политики.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В период с марта по август 2026 года был временно трудоустроен 681 несовершеннолетний гражданин, из них 130 человек стали участниками проекта «Губернаторский молодежный трудовой отряд» города Сосновый Бор.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rFonts w:eastAsia="Calibri"/>
          <w:color w:val="000000"/>
          <w:sz w:val="24"/>
          <w:szCs w:val="24"/>
          <w:lang w:eastAsia="en-US"/>
        </w:rPr>
        <w:t>В период с сентября по декабрь 2026 года на базе МАУ «Молодежный центр «Диалог» планируется организовать не менее 90 временных рабочих мест для несовершеннолетних граждан.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2026 году работодателям несовершеннолетних граждан выделены средства местного бюджета, направленные на: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оплату обязательных медицинских осмотров подростков и бригадиров;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проведение специальной оценки условий труда и оценки профессиональных рисков;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на выплату заработной платы, пособия по временной нетрудоспособности и начислений на заработную плату подростков и бригадиров;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затраты на приобретение оснащения для рабочего места, необходимого для выполнения трудовых функций.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Также работодателям несовершеннолетних граждан в 2026 году были выделены средства областного бюджета в рамках соглашений с: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1) Комитетом по молодежной политике Ленинградской области на реализацию проекта «Губернаторский молодежный трудовой отряд» города Сосновый Бор;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2) Комитетом по труду и занятости населения Ленинградской области на выплату заработной платы несовершеннолетним и на приобретение оснащения для рабочего места.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8"/>
        <w:jc w:val="both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Прогноз на 2027-2029 годы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рамках реализации муниципальной программы на 2027-2029 годы отделом по молодежной политике администрации Сосновоборского городского округа и МАУ «Молодежный центр «Диалог» продолжится работа в сфере молодежной политики.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Целью работы отдела по молодежной политике администрации Сосновоборского городского округа и МАУ «Молодежный центр «Диалог» останется </w:t>
      </w:r>
      <w:r w:rsidRPr="00D81973">
        <w:rPr>
          <w:rFonts w:eastAsia="Calibri"/>
          <w:color w:val="000000"/>
          <w:sz w:val="24"/>
          <w:szCs w:val="24"/>
        </w:rPr>
        <w:t xml:space="preserve">создание комплекса условий и эффективных механизмов реализации молодежной политики на территории Сосновоборского городского </w:t>
      </w:r>
      <w:r w:rsidRPr="00D81973">
        <w:rPr>
          <w:color w:val="000000"/>
          <w:sz w:val="24"/>
          <w:szCs w:val="24"/>
        </w:rPr>
        <w:t>округа</w:t>
      </w:r>
      <w:r w:rsidRPr="00D81973">
        <w:rPr>
          <w:rFonts w:eastAsia="Calibri"/>
          <w:color w:val="000000"/>
          <w:sz w:val="24"/>
          <w:szCs w:val="24"/>
        </w:rPr>
        <w:t>, обеспечивающих процесс интеллектуального, нравственного, гражданского и физического становления личности молодых людей.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Планируется, что в рамках выполнения муниципального задания на 2027-2029 годы МАУ «Молодежный центр «Диалог» будет организовано и проведено не менее 573 мероприятий, участниками которых станут не менее 24 210 человек.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rFonts w:eastAsia="Calibri"/>
          <w:color w:val="000000"/>
          <w:sz w:val="24"/>
          <w:szCs w:val="24"/>
        </w:rPr>
        <w:t xml:space="preserve">В целях </w:t>
      </w:r>
      <w:r w:rsidRPr="00D81973">
        <w:rPr>
          <w:color w:val="000000"/>
          <w:sz w:val="24"/>
          <w:szCs w:val="24"/>
        </w:rPr>
        <w:t>организации временного трудоустройства несовершеннолетних граждан на базе муниципальных учреждений Сосновоборского городского округа планируется трудоустроить не менее 2100 подростков.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>Также будут реализованы следующие направления деятельности государственной молодежной политики: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 патриотическое воспитание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 духовно-нравственное воспитание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 обеспечение межнационального (межэтнического) и межконфессионального согласия в молодежной среде, профилактика и предупреждение проявлений экстремизма в деятельности молодежных общественных объединений, формирование у молодежи на основе традиционных российских духовно-нравственных ценностей неприятия идеологий терроризма, экстремизма, иных деструктивных идеологий, а также формирование устойчивости к их пропаганде;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поддержка молодых граждан, оказавшихся в трудной жизненной ситуации, инвалидов и лиц с ограниченными возможностями здоровья из числа молодых граждан, лиц из числа детей-сирот и детей, оставшихся без попечения родителей, а также содействие в оказании социально-психологической помощи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поддержка инициатив, в том числе инициативных проектов,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содействие общественной деятельности, направленной на поддержку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организация досуга, вовлечение молодых граждан в социальный и внутренний туризм, в том числе путем организации и проведения походов, экспедиций, слетов, фестивалей и иных мероприятий, проводимых в условиях природной среды;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формирование условий для занятий физической культурой, спортом, содействие здоровому образу жизни молодежи и его популяризации в молодежной среде, поддержка проектов молодежи, направленных на решение социальных задач через развитие физической культуры и спорта;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предоставление социальных услуг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поддержка молодых семей, сохранение и укрепление традиционных семейных ценностей и семейного образа жизни в молодежной среде, создание условий для обеспечения ответственного родительства среди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содействие образованию молодежи, повышению мотивации у молодых граждан к получению новых знаний, в том числе путем самообразования;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правовое просвещение и правовое информирование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организация подготовки специалистов по работе с молодежью;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выявление, сопровождение и поддержка молодежи, проявившей одаренность, содействие реализации прав молодых граждан и свободу литературного, художественного, научного, технического и других видов творчества;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развитие института наставничества;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содействие трудоустройству молодых граждан, в том числе посредством студенческих отрядов, профессиональному развитию молодых специалистов и молодых работников;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поддержка и содействие предпринимательской деятельности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поддержка деятельности молодежных общественных объединений, некоммерческих организаций, осуществляющих деятельность, направленную на реализацию молодежной политики в Российской Федерации, и органов молодежного самоуправления при органе местного самоуправления и организациях;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содействие участию молодежи в добровольческой (волонтерской) деятельности;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формирование у молодежи экологической культуры и экологически ответственного мировоззрения;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содействие международному и межрегиональному сотрудничеству в сфере молодежной политики;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предупреждение правонарушений и антиобщественных действий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 xml:space="preserve">поддержка деятельности по созданию и распространению в средствах массовой информации, в том числе в информационно-телекоммуникационной сети «Интернет», произведений науки, искусства, литературы и других произведений, направленных на </w:t>
      </w:r>
      <w:r w:rsidRPr="00D81973">
        <w:rPr>
          <w:color w:val="000000"/>
          <w:sz w:val="24"/>
          <w:szCs w:val="24"/>
        </w:rPr>
        <w:lastRenderedPageBreak/>
        <w:t>укрепление гражданской идентичности, патриотическое и духовно-нравственное воспитание молодежи;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color w:val="000000"/>
          <w:sz w:val="24"/>
          <w:szCs w:val="24"/>
          <w:lang w:val="en-US"/>
        </w:rPr>
        <w:t> </w:t>
      </w:r>
      <w:r w:rsidRPr="00D81973">
        <w:rPr>
          <w:color w:val="000000"/>
          <w:sz w:val="24"/>
          <w:szCs w:val="24"/>
        </w:rPr>
        <w:t>проведение научно-аналитических исследований по вопросам молодежной политики.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Однако, существует тенденция в молодежной политике, носящая как общероссийский, региональный, так и муниципальный характер, позволяющая выделить и следующие ключевые проблемы: 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</w:p>
    <w:tbl>
      <w:tblPr>
        <w:tblStyle w:val="1b"/>
        <w:tblW w:w="4648" w:type="pct"/>
        <w:tblLook w:val="04A0" w:firstRow="1" w:lastRow="0" w:firstColumn="1" w:lastColumn="0" w:noHBand="0" w:noVBand="1"/>
      </w:tblPr>
      <w:tblGrid>
        <w:gridCol w:w="4391"/>
        <w:gridCol w:w="4559"/>
      </w:tblGrid>
      <w:tr w:rsidR="00D81973" w:rsidRPr="00667059" w:rsidTr="00AA1D5B">
        <w:tc>
          <w:tcPr>
            <w:tcW w:w="2453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Основные проблемы</w:t>
            </w:r>
          </w:p>
        </w:tc>
        <w:tc>
          <w:tcPr>
            <w:tcW w:w="2547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Предполагаемые пути решения</w:t>
            </w:r>
          </w:p>
        </w:tc>
      </w:tr>
      <w:tr w:rsidR="00D81973" w:rsidRPr="00667059" w:rsidTr="00AA1D5B">
        <w:tc>
          <w:tcPr>
            <w:tcW w:w="2453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1.Низкая вовлеченность молодежи и молодых семей Сосновоборского городского округа к участию в грантовых конкурсах, форумной кампании федерального, регионального и местного уровней</w:t>
            </w:r>
          </w:p>
        </w:tc>
        <w:tc>
          <w:tcPr>
            <w:tcW w:w="2547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81973">
              <w:rPr>
                <w:rFonts w:eastAsia="Calibri"/>
                <w:color w:val="000000"/>
                <w:sz w:val="24"/>
                <w:szCs w:val="24"/>
              </w:rPr>
              <w:t>Взаимодействие с Молодежным советом при главе Сосновоборского городского округа, молодежными организациями предприятий Сосновоборского городского округа и участниками грантовых конкурсов,</w:t>
            </w:r>
            <w:r w:rsidRPr="00D81973">
              <w:rPr>
                <w:color w:val="000000"/>
                <w:sz w:val="24"/>
                <w:szCs w:val="24"/>
              </w:rPr>
              <w:t xml:space="preserve"> форумной кампании</w:t>
            </w:r>
            <w:r w:rsidRPr="00D81973">
              <w:rPr>
                <w:rFonts w:eastAsia="Calibri"/>
                <w:color w:val="000000"/>
                <w:sz w:val="24"/>
                <w:szCs w:val="24"/>
              </w:rPr>
              <w:t xml:space="preserve"> прошлых лет по созданию комплекса мер, направленных на: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81973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D81973">
              <w:rPr>
                <w:rFonts w:eastAsia="Calibri"/>
                <w:color w:val="000000"/>
                <w:sz w:val="24"/>
                <w:szCs w:val="24"/>
                <w:lang w:val="en-US"/>
              </w:rPr>
              <w:t> </w:t>
            </w:r>
            <w:r w:rsidRPr="00D81973">
              <w:rPr>
                <w:rFonts w:eastAsia="Calibri"/>
                <w:color w:val="000000"/>
                <w:sz w:val="24"/>
                <w:szCs w:val="24"/>
              </w:rPr>
              <w:t>вовлечение молодежи к участию в образовательных программах, семинарах, тренингах, хакатонах, конференциях и слетах для подачи заявок и участия в грантовых конкурсах;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D81973">
              <w:rPr>
                <w:rFonts w:eastAsia="Calibri"/>
                <w:color w:val="000000"/>
                <w:sz w:val="24"/>
                <w:szCs w:val="24"/>
                <w:lang w:val="en-US"/>
              </w:rPr>
              <w:t> </w:t>
            </w:r>
            <w:r w:rsidRPr="00D81973">
              <w:rPr>
                <w:rFonts w:eastAsia="Calibri"/>
                <w:color w:val="000000"/>
                <w:sz w:val="24"/>
                <w:szCs w:val="24"/>
              </w:rPr>
              <w:t>вовлечение молодежи к участию в форумной кампании, путем освещения преимуществ и возможностей, которые открывают проводимые форумы, для молодых граждан</w:t>
            </w:r>
          </w:p>
        </w:tc>
      </w:tr>
      <w:tr w:rsidR="00D81973" w:rsidRPr="00667059" w:rsidTr="00AA1D5B">
        <w:tc>
          <w:tcPr>
            <w:tcW w:w="2453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2.Низкая вовлеченность молодежи 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к участию в добровольческой (волонтерской) деятельности</w:t>
            </w:r>
          </w:p>
        </w:tc>
        <w:tc>
          <w:tcPr>
            <w:tcW w:w="2547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81973">
              <w:rPr>
                <w:rFonts w:eastAsia="Calibri"/>
                <w:color w:val="000000"/>
                <w:sz w:val="24"/>
                <w:szCs w:val="24"/>
              </w:rPr>
              <w:t>Широкое информирование несовершеннолетних граждан и их законных представителей о: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81973">
              <w:rPr>
                <w:rFonts w:eastAsia="Calibri"/>
                <w:color w:val="000000"/>
                <w:sz w:val="24"/>
                <w:szCs w:val="24"/>
              </w:rPr>
              <w:t>- возможностях и экосистеме платформы Добро.рф;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81973">
              <w:rPr>
                <w:rFonts w:eastAsia="Calibri"/>
                <w:color w:val="000000"/>
                <w:sz w:val="24"/>
                <w:szCs w:val="24"/>
              </w:rPr>
              <w:t>- верифицированных волонтерских часах и преимуществах при поступлении в ВУЗы и ССУЗы.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81973">
              <w:rPr>
                <w:rFonts w:eastAsia="Calibri"/>
                <w:color w:val="000000"/>
                <w:sz w:val="24"/>
                <w:szCs w:val="24"/>
              </w:rPr>
              <w:t>Вовлечение молодежи к участию в добровольческих мероприятиях, акциях, проводимых волонтерскими организациями и объединениями города Сосновый Бор.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81973">
              <w:rPr>
                <w:rFonts w:eastAsia="Calibri"/>
                <w:color w:val="000000"/>
                <w:sz w:val="24"/>
                <w:szCs w:val="24"/>
              </w:rPr>
              <w:t xml:space="preserve">Развитие </w:t>
            </w:r>
            <w:r w:rsidRPr="00D81973">
              <w:rPr>
                <w:color w:val="000000"/>
                <w:sz w:val="24"/>
                <w:szCs w:val="24"/>
              </w:rPr>
              <w:t>Центра общественного развития «Добро.Центр» на базе МАУ «Молодежный центр «Диалог» позволит комплексно реализовывать все направления добровольчества, а также создаст условия для вовлечения большего числа молодежи в волонтерскую деятельность</w:t>
            </w:r>
          </w:p>
        </w:tc>
      </w:tr>
      <w:tr w:rsidR="00D81973" w:rsidRPr="00667059" w:rsidTr="00AA1D5B">
        <w:trPr>
          <w:trHeight w:val="1116"/>
        </w:trPr>
        <w:tc>
          <w:tcPr>
            <w:tcW w:w="2453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3.Отток молодежи города Сосновый Бор после окончания 11 класса в ВУЗы и ССУЗы города Санкт-Петербурга</w:t>
            </w:r>
          </w:p>
        </w:tc>
        <w:tc>
          <w:tcPr>
            <w:tcW w:w="2547" w:type="pct"/>
            <w:vMerge w:val="restar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Открытие филиалов известных ВУЗов на территории города Сосновый Бор;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Взаимодействие с молодежной общероссийской общественной </w:t>
            </w:r>
            <w:r w:rsidRPr="00D81973">
              <w:rPr>
                <w:color w:val="000000"/>
                <w:sz w:val="24"/>
                <w:szCs w:val="24"/>
              </w:rPr>
              <w:lastRenderedPageBreak/>
              <w:t>организацией «Российские студенческие отряды» и участниками «Студенческих строительных отрядов»;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Организация участия молодежи во Всероссийских ярмарках трудоустройства и профориентационных тематических встречах.</w:t>
            </w:r>
          </w:p>
        </w:tc>
      </w:tr>
      <w:tr w:rsidR="00D81973" w:rsidRPr="00667059" w:rsidTr="00AA1D5B">
        <w:tc>
          <w:tcPr>
            <w:tcW w:w="2453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lastRenderedPageBreak/>
              <w:t>4.Отсутствие филиалов известных ВУЗов на территории города Сосновый Бор</w:t>
            </w:r>
          </w:p>
        </w:tc>
        <w:tc>
          <w:tcPr>
            <w:tcW w:w="2547" w:type="pct"/>
            <w:vMerge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81973" w:rsidRPr="00667059" w:rsidTr="00AA1D5B">
        <w:tc>
          <w:tcPr>
            <w:tcW w:w="2453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5.Дефицит новых кадров в учреждении молодежной политики</w:t>
            </w:r>
          </w:p>
        </w:tc>
        <w:tc>
          <w:tcPr>
            <w:tcW w:w="2547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Повышение заработной платы специалистов по работе с молодежью до уровня учреждений культуры;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С целью профессионального самоопределения, успешной социальной адаптации и приобретения практических трудовых навыков молодыми специалистами внедрение системы трудового наставничества в учреждении молодежной политики;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Реализация дополнительных мер социальной поддержки для молодых сотрудников (единовременное пособие при поступлении на должность, ежемесячные выплаты на протяжении 3 лет, компенсация за съем жилья и т.д.).</w:t>
            </w:r>
          </w:p>
        </w:tc>
      </w:tr>
      <w:tr w:rsidR="00D81973" w:rsidRPr="00667059" w:rsidTr="00AA1D5B">
        <w:tc>
          <w:tcPr>
            <w:tcW w:w="2453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6.Отсутствие единой стратегии развития молодежного  предпринимательства и низкая информированность молодежи о существующих программах поддержки на территории Сосновоборского городского округа</w:t>
            </w:r>
          </w:p>
        </w:tc>
        <w:tc>
          <w:tcPr>
            <w:tcW w:w="2547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С целью формирования практических навыков и компетенций, необходимых для ведения бизнеса, целесообразно разработать и внедрить бесплатную дополнительную образовательную программу с практическими блоками «Основы предпринимательской деятельности» для молодежи в возрасте от 14 до 35 лет;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Вовлечение к участию молодых предпринимателей города Сосновый Бор во Всероссийской премии «Молодой предприниматель России», являющейся одним из системных инструментов поддержки молодёжного предпринимательства;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С целью увеличения числа подростков, вовлеченных в предпринимательскую деятельность, проведение на базе общеобразовательных учреждений Сосновоборского городского округа цикла мероприятий, направленных на повышение информированности молодежи о существующих программах поддержки молодых предпринимателей;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Введение системы наставничества, способствующей образованию связей между молодыми и опытными предпринимателями;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lastRenderedPageBreak/>
              <w:t>Повышение уровня осведомленности молодежи о действующих инструментах государственной поддержки, льготах и вариантах развития бизнеса;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Внедрение единых социальных программ для молодых предпринимателей, с целью снижения процента внутренней миграции молодежи.</w:t>
            </w:r>
          </w:p>
        </w:tc>
      </w:tr>
    </w:tbl>
    <w:p w:rsidR="00D81973" w:rsidRPr="00D81973" w:rsidRDefault="00D81973" w:rsidP="00D81973">
      <w:pPr>
        <w:pStyle w:val="2"/>
        <w:shd w:val="clear" w:color="auto" w:fill="FFFFFF"/>
        <w:tabs>
          <w:tab w:val="left" w:pos="2474"/>
          <w:tab w:val="center" w:pos="4819"/>
        </w:tabs>
        <w:jc w:val="left"/>
        <w:rPr>
          <w:color w:val="000000"/>
          <w:szCs w:val="24"/>
        </w:rPr>
      </w:pPr>
      <w:bookmarkStart w:id="37" w:name="_Toc234897096"/>
      <w:bookmarkStart w:id="38" w:name="_Toc525552899"/>
      <w:bookmarkEnd w:id="35"/>
      <w:bookmarkEnd w:id="36"/>
      <w:r w:rsidRPr="00D81973">
        <w:rPr>
          <w:color w:val="000000"/>
          <w:szCs w:val="24"/>
        </w:rPr>
        <w:lastRenderedPageBreak/>
        <w:tab/>
      </w:r>
    </w:p>
    <w:p w:rsidR="00D81973" w:rsidRPr="00D81973" w:rsidRDefault="00D81973" w:rsidP="00D81973">
      <w:pPr>
        <w:pStyle w:val="2"/>
        <w:shd w:val="clear" w:color="auto" w:fill="FFFFFF"/>
        <w:tabs>
          <w:tab w:val="left" w:pos="2474"/>
          <w:tab w:val="center" w:pos="4819"/>
        </w:tabs>
        <w:jc w:val="left"/>
        <w:rPr>
          <w:color w:val="000000"/>
          <w:szCs w:val="24"/>
        </w:rPr>
      </w:pPr>
      <w:r w:rsidRPr="00D81973">
        <w:rPr>
          <w:color w:val="000000"/>
          <w:szCs w:val="24"/>
        </w:rPr>
        <w:tab/>
      </w:r>
      <w:bookmarkStart w:id="39" w:name="_Toc242279730"/>
      <w:r w:rsidRPr="00D81973">
        <w:rPr>
          <w:color w:val="000000"/>
          <w:szCs w:val="24"/>
        </w:rPr>
        <w:t>4. Жилищно-коммунальное хозяйство</w:t>
      </w:r>
      <w:bookmarkEnd w:id="39"/>
    </w:p>
    <w:p w:rsidR="00D81973" w:rsidRPr="00D81973" w:rsidRDefault="00D81973" w:rsidP="00D81973">
      <w:pPr>
        <w:keepNext/>
        <w:shd w:val="clear" w:color="auto" w:fill="FFFFFF"/>
        <w:jc w:val="center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bookmarkStart w:id="40" w:name="_Toc16152560"/>
      <w:bookmarkEnd w:id="37"/>
      <w:bookmarkEnd w:id="38"/>
      <w:r w:rsidRPr="00D81973">
        <w:rPr>
          <w:b/>
          <w:bCs/>
          <w:color w:val="000000"/>
          <w:sz w:val="24"/>
          <w:szCs w:val="24"/>
        </w:rPr>
        <w:t>Ожидаемые итоги 2026 года.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сфере ЖКХ на постоянной основе продолжится проведение следующих мероприятий:</w:t>
      </w:r>
    </w:p>
    <w:p w:rsidR="00D81973" w:rsidRPr="00D81973" w:rsidRDefault="00D81973" w:rsidP="00D81973">
      <w:pPr>
        <w:numPr>
          <w:ilvl w:val="0"/>
          <w:numId w:val="44"/>
        </w:numPr>
        <w:shd w:val="clear" w:color="auto" w:fill="FFFFFF"/>
        <w:spacing w:after="160" w:line="259" w:lineRule="auto"/>
        <w:ind w:left="0" w:firstLine="567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формирование реального конкурентного рынка предоставления жилищных услуг управляющими организациями с проведением открытых конкурсов на обслуживание жилищного фонда - проведен один конкурс по отбору управляющей организации, до конца года запланировано проведение мероприятий по определению управляющей организации по двум многоквартирным домам;</w:t>
      </w:r>
    </w:p>
    <w:p w:rsidR="00D81973" w:rsidRPr="00D81973" w:rsidRDefault="00D81973" w:rsidP="00D81973">
      <w:pPr>
        <w:numPr>
          <w:ilvl w:val="0"/>
          <w:numId w:val="44"/>
        </w:numPr>
        <w:shd w:val="clear" w:color="auto" w:fill="FFFFFF"/>
        <w:spacing w:after="160" w:line="259" w:lineRule="auto"/>
        <w:ind w:left="0" w:firstLine="567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проведение реконструкции, модернизации, капитального ремонта жилищно-коммунального комплекса, организация энерго-ресурсосбережения и привлечение инвестиций в эту сферу: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заключено соглашение с комитетом по топливно-энергетическому комплексу Ленинградкой области на предоставление субсидии в 2026-2028 годах на проведение капитального ремонта 6 объектов теплоэнергетики. В 2026 году выполняется капитальный ремонт тепловой сети от ТК-5 до ТК-7, местоположение: Ленинградской область, г. Сосновый Бор, ул. Комсомольская;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заключено соглашение со СМУП «ВОДОКАНАЛ» на проведение капитального ремонта капитальный ремонт канализационной насосной станции № 10, в том числе на осуществление строительного контроля, кадастровый номер 47:15:0112005:98;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для реализации Соглашения с комитетом по топливно-энергетическому комплексу Ленинградкой области на предоставление субсидии в 2026-2028 годах на проведение капитального ремонта 6 объектов теплоэнергетики необходимо наличие проектно-сметной документации с положительным заключением государственной экспертизы. Для капитального ремонта объектов теплоэнергетики СМУП «ТСП» выполняет подготовку проектно-сметной документации с положительным заключением государственной экспертизы на два объекта;</w:t>
      </w:r>
    </w:p>
    <w:p w:rsidR="00D81973" w:rsidRPr="00D81973" w:rsidRDefault="00D81973" w:rsidP="00D81973">
      <w:pPr>
        <w:numPr>
          <w:ilvl w:val="0"/>
          <w:numId w:val="44"/>
        </w:numPr>
        <w:shd w:val="clear" w:color="auto" w:fill="FFFFFF"/>
        <w:spacing w:after="160" w:line="259" w:lineRule="auto"/>
        <w:ind w:left="0" w:firstLine="567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формирование рыночных механизмов функционирования жилищно-коммунального комплекса и условий для снижения издержек и повышения качества жилищно-коммунальных услуг, энергосбережению коммунальных ресурсов, а именно: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осуществляется возмещение расходов управляющим организациям за коммунальные услуги и за содержание жилых/нежилых помещений, находящихся в муниципальной собственности Сосновоборского городского округа в период их простоя, заключено три соглашения;</w:t>
      </w:r>
    </w:p>
    <w:p w:rsidR="00D81973" w:rsidRPr="00D81973" w:rsidRDefault="00D81973" w:rsidP="00D81973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осуществляется оплата взносов на капитальный ремонт общего имущества в многоквартирных домах за муниципальных жилищный фонд, расположенный в многоквартирных домах;</w:t>
      </w:r>
    </w:p>
    <w:p w:rsidR="00D81973" w:rsidRPr="00D81973" w:rsidRDefault="00D81973" w:rsidP="00D81973">
      <w:pPr>
        <w:shd w:val="clear" w:color="auto" w:fill="FFFFFF"/>
        <w:ind w:firstLine="567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актуализирована схема теплоснабжения муниципального образования Сосновоборский городской округ; </w:t>
      </w:r>
    </w:p>
    <w:p w:rsidR="00D81973" w:rsidRPr="00D81973" w:rsidRDefault="00D81973" w:rsidP="00D81973">
      <w:pPr>
        <w:shd w:val="clear" w:color="auto" w:fill="FFFFFF"/>
        <w:ind w:firstLine="567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на постоянной основе проводятся заседания межведомственной комиссии по подготовке и проведению отопительного сезона 2026-2027 годов, проведено 2 заседания;</w:t>
      </w:r>
    </w:p>
    <w:p w:rsidR="00D81973" w:rsidRPr="00D81973" w:rsidRDefault="00D81973" w:rsidP="00D81973">
      <w:pPr>
        <w:shd w:val="clear" w:color="auto" w:fill="FFFFFF"/>
        <w:ind w:firstLine="567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 xml:space="preserve">- реализуется краткосрочный план капитального ремонта общего имущества в 25 многоквартирных домах муниципального образования Сосновоборский городской округ в рамках региональной программы с выполнением 11 видов работ; </w:t>
      </w:r>
    </w:p>
    <w:p w:rsidR="00D81973" w:rsidRPr="00D81973" w:rsidRDefault="00D81973" w:rsidP="00D81973">
      <w:pPr>
        <w:shd w:val="clear" w:color="auto" w:fill="FFFFFF"/>
        <w:ind w:firstLine="567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осуществляется замена приборов учета коммунальных ресурсов в бюджетных муниципальных учреждениях, заменено 6 приборов;</w:t>
      </w:r>
    </w:p>
    <w:p w:rsidR="00D81973" w:rsidRPr="00D81973" w:rsidRDefault="00D81973" w:rsidP="00D81973">
      <w:pPr>
        <w:shd w:val="clear" w:color="auto" w:fill="FFFFFF"/>
        <w:ind w:firstLine="567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осуществляется транспортирование и размещение/утилизация отходов смеси осадков механической и биологической очистки хозяйственно-бытовых и смешанных сточных вод, накопленных в период деятельности СМУП «ВОДОКАНАЛ», заключено одно соглашение со СМУП «ВОДОКАНАЛ» для вывоза 919 куб. м.;</w:t>
      </w:r>
    </w:p>
    <w:p w:rsidR="00D81973" w:rsidRPr="00D81973" w:rsidRDefault="00D81973" w:rsidP="00D81973">
      <w:pPr>
        <w:shd w:val="clear" w:color="auto" w:fill="FFFFFF"/>
        <w:ind w:firstLine="567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осуществляется содержание и текущий ремонт 8 распределительных газопроводов, заключено соглашение со СМУП «ТСП»;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проводится системный мониторинг за техническим состоянием жилищного фонда, подготовлен отчет по 340 многоквартирным домам;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специалистами отдела ЖКХ проводится мониторинг за исполнением управляющими организациями условий договора управления в части содержания и обслуживания общего имущества многоквартирных домов, уборки придомовых территорий;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 - проведено 6 заседаний комиссии по установлению размера платы за содержание жилых помещений на территории муниципального образования Сосновоборский городской округ; </w:t>
      </w:r>
    </w:p>
    <w:p w:rsidR="00D81973" w:rsidRPr="00D81973" w:rsidRDefault="00D81973" w:rsidP="00D81973">
      <w:pPr>
        <w:shd w:val="clear" w:color="auto" w:fill="FFFFFF"/>
        <w:tabs>
          <w:tab w:val="num" w:pos="-2127"/>
        </w:tabs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специалистами отдела ЖКХ осуществляется мониторинг за исполнением региональным оператором по обращению с твердыми коммунальными отходами сроков предоставления услуг (своевременного вывоза ТКО);</w:t>
      </w:r>
    </w:p>
    <w:p w:rsidR="00D81973" w:rsidRPr="00D81973" w:rsidRDefault="00D81973" w:rsidP="00D81973">
      <w:pPr>
        <w:shd w:val="clear" w:color="auto" w:fill="FFFFFF"/>
        <w:tabs>
          <w:tab w:val="num" w:pos="-2127"/>
        </w:tabs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b/>
          <w:color w:val="000000"/>
          <w:sz w:val="24"/>
          <w:szCs w:val="24"/>
        </w:rPr>
        <w:t xml:space="preserve"> </w:t>
      </w:r>
      <w:r w:rsidRPr="00D81973">
        <w:rPr>
          <w:color w:val="000000"/>
          <w:sz w:val="24"/>
          <w:szCs w:val="24"/>
        </w:rPr>
        <w:t>продолжится реализация концессионного соглашения в отношении объектов водоснабжения и водоотведения, заключенного 28 июля 2020 года на 30 лет, объем инвестиций составит 1,5 миллиарда рублей. Концессионер в течение 30 лет обязуется модернизировать и реконструировать систему, заменить все стальные и чугунные трубы, привести коммунальное хозяйство в нормативное состояние;</w:t>
      </w:r>
    </w:p>
    <w:p w:rsidR="00D81973" w:rsidRPr="00D81973" w:rsidRDefault="00D81973" w:rsidP="00D81973">
      <w:pPr>
        <w:shd w:val="clear" w:color="auto" w:fill="FFFFFF"/>
        <w:tabs>
          <w:tab w:val="num" w:pos="-2127"/>
        </w:tabs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 рамках реализации концессионного соглашения проведены контрольные мероприятия по исполнению концессионером своих обязанностей по выполнению мероприятий, предусмотренных концессионным соглашением в 2025 году;</w:t>
      </w:r>
    </w:p>
    <w:p w:rsidR="00D81973" w:rsidRPr="00D81973" w:rsidRDefault="00D81973" w:rsidP="00D81973">
      <w:pPr>
        <w:shd w:val="clear" w:color="auto" w:fill="FFFFFF"/>
        <w:tabs>
          <w:tab w:val="num" w:pos="-2127"/>
        </w:tabs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подвоз, в соответствии федеральным законодательством, питьевой воды 3 раза в неделю в микрорайоны города неподключенных к централизованной системе водоснабжения;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 рамках реализации Послания Президента Российской Федерации Федеральному собранию Российской Федерации по доведению газа до границ негазифицированных домовладений в газифицированных населенных пунктах без привлечения средств населения Муниципальным штабом по газификации Сосновоборского городского округа регулярно проводятся мероприятия по информированию жителей города о догазификации, а именно:</w:t>
      </w:r>
    </w:p>
    <w:p w:rsidR="00D81973" w:rsidRPr="00D81973" w:rsidRDefault="00D81973" w:rsidP="00D81973">
      <w:pPr>
        <w:numPr>
          <w:ilvl w:val="0"/>
          <w:numId w:val="11"/>
        </w:numPr>
        <w:shd w:val="clear" w:color="auto" w:fill="FFFFFF"/>
        <w:spacing w:after="160" w:line="259" w:lineRule="auto"/>
        <w:ind w:left="0" w:firstLine="426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проведение два раза в месяц встречи с жителями города по вопросам догазификации при участии представителей АО «Газпром газораспределение Ленинградская область» и представителей средств массовой информации, которые освещают вопросы догазификации на официальном сайте Сосновоборского городского округа, в социальных сетях;</w:t>
      </w:r>
    </w:p>
    <w:p w:rsidR="00D81973" w:rsidRPr="00D81973" w:rsidRDefault="00D81973" w:rsidP="00D81973">
      <w:pPr>
        <w:numPr>
          <w:ilvl w:val="0"/>
          <w:numId w:val="11"/>
        </w:numPr>
        <w:shd w:val="clear" w:color="auto" w:fill="FFFFFF"/>
        <w:spacing w:after="160" w:line="259" w:lineRule="auto"/>
        <w:ind w:left="0" w:firstLine="426"/>
        <w:contextualSpacing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осуществление на постоянной основе консультаций по телефону специалистом отдела ЖКХ администрации Сосновоборского городского округа;</w:t>
      </w:r>
    </w:p>
    <w:p w:rsidR="00D81973" w:rsidRPr="00D81973" w:rsidRDefault="00D81973" w:rsidP="00D81973">
      <w:pPr>
        <w:pStyle w:val="aff2"/>
        <w:numPr>
          <w:ilvl w:val="0"/>
          <w:numId w:val="11"/>
        </w:numPr>
        <w:shd w:val="clear" w:color="auto" w:fill="FFFFFF"/>
        <w:ind w:left="709" w:hanging="283"/>
        <w:jc w:val="both"/>
        <w:rPr>
          <w:color w:val="000000"/>
        </w:rPr>
      </w:pPr>
      <w:r w:rsidRPr="00D81973">
        <w:rPr>
          <w:color w:val="000000"/>
        </w:rPr>
        <w:t xml:space="preserve"> ведение на постоянной основе работы по внесению информации о ИЖС в системе ГИС ЖКХ.</w:t>
      </w:r>
    </w:p>
    <w:p w:rsidR="00D81973" w:rsidRPr="00D81973" w:rsidRDefault="00D81973" w:rsidP="00D81973">
      <w:pPr>
        <w:shd w:val="clear" w:color="auto" w:fill="FFFFFF"/>
        <w:tabs>
          <w:tab w:val="left" w:pos="993"/>
        </w:tabs>
        <w:ind w:left="709"/>
        <w:contextualSpacing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keepNext/>
        <w:shd w:val="clear" w:color="auto" w:fill="FFFFFF"/>
        <w:ind w:firstLine="709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Прогноз на 2027-2029 годы.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Основными параметрами жизнеобеспечения, определяющими уровень жизни населения в городе, является предоставление бесперебойного и качественного водоснабжения, водоотведения, теплоснабжения, газоснабжения, электроснабжения.</w:t>
      </w:r>
    </w:p>
    <w:p w:rsidR="00D81973" w:rsidRPr="00D81973" w:rsidRDefault="00D81973" w:rsidP="00D81973">
      <w:pPr>
        <w:shd w:val="clear" w:color="auto" w:fill="FFFFFF"/>
        <w:spacing w:after="160" w:line="259" w:lineRule="auto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ab/>
        <w:t xml:space="preserve">Решение данных задач планируется с участием в </w:t>
      </w:r>
      <w:r w:rsidRPr="00D81973">
        <w:rPr>
          <w:rFonts w:eastAsia="Calibri"/>
          <w:color w:val="000000"/>
          <w:sz w:val="24"/>
          <w:szCs w:val="24"/>
        </w:rPr>
        <w:t xml:space="preserve">проектах и программах федерального и регионального уровня, привлечением внебюджетных средств (инвестиций), </w:t>
      </w:r>
      <w:r w:rsidRPr="00D81973">
        <w:rPr>
          <w:color w:val="000000"/>
          <w:sz w:val="24"/>
          <w:szCs w:val="24"/>
        </w:rPr>
        <w:t xml:space="preserve">в </w:t>
      </w:r>
      <w:r w:rsidRPr="00D81973">
        <w:rPr>
          <w:iCs/>
          <w:color w:val="000000"/>
          <w:sz w:val="24"/>
          <w:szCs w:val="24"/>
        </w:rPr>
        <w:t>рамках реализации муниципального проекта «Обеспечение устойчивого функционирования и развития коммунальной и инженерной инфраструктуры», отраслевого проекта «Обеспечение надежности и качества снабжения населения и организаций Ленинградской области электрической и тепловой энергией», комплекса процессных мероприятий «Обеспечение устойчивого функционирования и развития коммунальной и инженерной инфраструктуры», комплекса процессных мероприятий «Энергосбережение и повышение энергетической эффективности, повышение эффективности функционирования городского хозяйства»</w:t>
      </w:r>
      <w:r w:rsidRPr="00D81973">
        <w:rPr>
          <w:color w:val="000000"/>
          <w:sz w:val="24"/>
          <w:szCs w:val="24"/>
        </w:rPr>
        <w:t xml:space="preserve"> муниципальной программы Сосновоборского городского округа «Городское хозяйство на 2014-2030 годы», </w:t>
      </w:r>
      <w:r w:rsidRPr="00D81973">
        <w:rPr>
          <w:iCs/>
          <w:color w:val="000000"/>
          <w:sz w:val="24"/>
          <w:szCs w:val="24"/>
        </w:rPr>
        <w:t>в которых предусмотрено выполнение мероприятий, обеспечивающих повышение уровня комфортности проживания</w:t>
      </w:r>
      <w:r w:rsidRPr="00D81973">
        <w:rPr>
          <w:color w:val="000000"/>
          <w:sz w:val="24"/>
          <w:szCs w:val="24"/>
        </w:rPr>
        <w:t xml:space="preserve"> жителей Сосновоборского округа, в том числе: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1. Мероприятия по капитальному ремонту объектов коммунального хозяйства.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2. Замена приборов учета в бюджетных учреждениях.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3. Оплата доли муниципального имущества в части обязательств по капитальному ремонту многоквартирных домов.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4. Доставка питьевой воды в бывшие деревни.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5. Содержание бесхозяйных коммунальных сетей, включающую в себя мероприятия по возмещению затрат в связи с техническим обслуживанием бесхозяйных объектов коммунального хозяйства на период оформления бесхозяйного имущества в муниципальную собственность.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6. Мероприятия по оплате расходов на содержание общего имущества в многоквартирном доме, включающие </w:t>
      </w:r>
      <w:r w:rsidRPr="00D81973">
        <w:rPr>
          <w:bCs/>
          <w:color w:val="000000"/>
          <w:sz w:val="24"/>
          <w:szCs w:val="24"/>
        </w:rPr>
        <w:t>возмещение фактических затрат управляющим организациям, связанных с содержанием муниципальных нежилых помещений и жилых помещений, находящихся в простое.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7. Мероприятия по финансовому участию в рамках концессионного соглашения на модернизацию и реконструкцию сетей, включающую модернизацию и/или реконструкцию муниципального имущества, составляющего объекты водоснабжения и водоотведения.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8. Мероприятия по предоставлению субсидий на возмещение расходов, связанных с техническим обслуживанием и текущим ремонтом распределительных газопроводов.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9. Осуществление мероприятий по предоставлению субсидий в целях возмещения затрат по вывозу смеси осадков механической и биологической очистки хозяйственно-бытовых и смешанных вод, накопленных СМУП «ПО ЖКХ» и СМУП «Водоканал».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10. Осуществление мероприятий по предоставлению субсидий СМУП «ТСП» на финансовое обеспечение затрат на повышение качества сточных вод промышленно-ливневой канализации. 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11. Осуществление мероприятий по предоставлению субсидий СМУП «ВОДОКАНАЛ» на финансовое обеспечение затрат на капитальный ремонт канализационной насосной станции № 10.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11. Разработка/актуализация схем теплоснабжения, водоснабжения, водоотведения, программы комплексного развития систем коммунальной инфраструктуры развития МО.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Задачи отрасли в соответствии с Указом Президента РФ от 07.05.2024 № 309 «О национальных целях развития Российской Федерации на период до 2030 года и на перспективу до 2036 года» – обеспечение удобных и безопасных условий проживания граждан, надежной эксплуатации инженерных коммуникаций и предоставление качественных коммунальных услуг путем достижения целевых показателей при выполнении мероприятий в рамках муниципальной программы «Городское хозяйство на 2014-2030 годы».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386"/>
      </w:tblGrid>
      <w:tr w:rsidR="00D81973" w:rsidRPr="00667059" w:rsidTr="00AA1D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spacing w:line="276" w:lineRule="auto"/>
              <w:ind w:firstLine="709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b/>
                <w:color w:val="000000"/>
                <w:sz w:val="24"/>
                <w:szCs w:val="24"/>
                <w:lang w:eastAsia="en-US"/>
              </w:rPr>
              <w:t xml:space="preserve">Основные проблемы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spacing w:line="276" w:lineRule="auto"/>
              <w:ind w:firstLine="709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b/>
                <w:color w:val="000000"/>
                <w:sz w:val="24"/>
                <w:szCs w:val="24"/>
                <w:lang w:eastAsia="en-US"/>
              </w:rPr>
              <w:t>Предлагаемые пути решения</w:t>
            </w:r>
          </w:p>
        </w:tc>
      </w:tr>
      <w:tr w:rsidR="00D81973" w:rsidRPr="00667059" w:rsidTr="00AA1D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bCs/>
                <w:color w:val="000000"/>
                <w:sz w:val="24"/>
                <w:szCs w:val="24"/>
                <w:lang w:eastAsia="en-US"/>
              </w:rPr>
              <w:lastRenderedPageBreak/>
              <w:t>1. В большинстве случаев отдельные инженерные системы и оборудование многоквартирных домов, конструктивные элементы зданий уже отработали свой нормативный срок эксплуатации, в связи с этим возникла необходимость проведения капитального ремонта общего имущества в многоквартирных домах городского округа.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bCs/>
                <w:color w:val="000000"/>
                <w:sz w:val="24"/>
                <w:szCs w:val="24"/>
                <w:lang w:eastAsia="en-US"/>
              </w:rPr>
              <w:t>Выполнение капитального ремонта  общего имущества в многоквартирных домах, включенных в Региональную программу с привлечением средств некоммерческой организации «Фонд капитального ремонта многоквартирных домов Ленинградской области», муниципального бюджета, собственников жилых помещений.</w:t>
            </w:r>
          </w:p>
        </w:tc>
      </w:tr>
      <w:tr w:rsidR="00D81973" w:rsidRPr="00667059" w:rsidTr="00AA1D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bCs/>
                <w:color w:val="000000"/>
                <w:sz w:val="24"/>
                <w:szCs w:val="24"/>
                <w:lang w:eastAsia="en-US"/>
              </w:rPr>
              <w:t>2. Наличие просроченной задолженности за жилищно-коммунальные услуги.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bCs/>
                <w:color w:val="000000"/>
                <w:sz w:val="24"/>
                <w:szCs w:val="24"/>
                <w:lang w:eastAsia="en-US"/>
              </w:rPr>
              <w:t xml:space="preserve">Управляющими организациями и ресурсоснабжающими предприятиями, предоставляющих жилищно-коммунальные услуги, на постоянной основе проводится работа с неплательщиками по оплате за ЖКУ, а именно, подаются исковые заявления на неплательщиков, осуществляется подписание соглашений с неплательщиками о погашении задолженности в рассрочку, проводятся профилактические беседы с неплательщиками, а также осуществляется вручения писем о необходимости погашения задолженности. </w:t>
            </w:r>
          </w:p>
        </w:tc>
      </w:tr>
      <w:tr w:rsidR="00D81973" w:rsidRPr="00667059" w:rsidTr="00AA1D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3. Привлечение частного капитала в сферу жилищно-коммунального обслуживания, развитие конкуренции на рынке жилищно-коммунальных услуг.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Проведение 4 открытых конкурсов по выбору управляющих организаций, в целях управления многоквартирными домами.</w:t>
            </w:r>
          </w:p>
        </w:tc>
      </w:tr>
      <w:tr w:rsidR="00D81973" w:rsidRPr="00667059" w:rsidTr="00AA1D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 xml:space="preserve">4. Изношенность городских инженерных сетей, объектов коммунального-хозяйства.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- Участие в отборе на получение субсидии из областного бюджета на проведение капитального ремонта объектов теплоснабжения.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- Поддержание безаварийной работы объектов коммунального хозяйства.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- Подготовить 5 комплектов проектно-сметной документации с положительным заключением государственной экспертизы.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- Предоставлять субсидию СМУП «ТСП» на содержание и текущий ремонт 8 распределительных газопроводов.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- Предоставлять субсидию СМУП «ТСП» на повышение качества сточных вод промышленно-ливневой канализации.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 xml:space="preserve">- СМУП «ВОДОКАНАЛ» </w:t>
            </w:r>
            <w:r w:rsidRPr="00D81973">
              <w:rPr>
                <w:color w:val="000000"/>
                <w:sz w:val="24"/>
                <w:szCs w:val="24"/>
              </w:rPr>
              <w:t>на капитальный ремонт канализационной насосной станции № 10.</w:t>
            </w:r>
          </w:p>
        </w:tc>
      </w:tr>
      <w:tr w:rsidR="00D81973" w:rsidRPr="00667059" w:rsidTr="00AA1D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5. Проведение капитального ремонта, модернизации и реконструкции объектов коммунального хозяйства муниципального образования Сосновоборский городской округ.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Передача объектов инфраструктуры в концессию, для выполнения модернизации и реконструкции объектов водоснабжения и водоотведения.</w:t>
            </w:r>
          </w:p>
        </w:tc>
      </w:tr>
      <w:tr w:rsidR="00D81973" w:rsidRPr="00667059" w:rsidTr="00AA1D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6. Отсутствие централизованной системы холодного водоснабжения в некоторых микрорайонах городского округа (бывшие деревни).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Мероприятия по доставке питьевой воды в бывшие деревни: 3 раза в неделю, 858 машино-часов в год.</w:t>
            </w:r>
          </w:p>
        </w:tc>
      </w:tr>
      <w:tr w:rsidR="00D81973" w:rsidRPr="00667059" w:rsidTr="00AA1D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lastRenderedPageBreak/>
              <w:t>7.Недостаточность финансирования статьи расходов в тарифе по коммунальной услуге водоотведения, которая привела к невозможности обеспечения мероприятий в полном объеме размещения отходов смеси осадков механической и биологической очистки хозяйственно-бытовых и смешанных сточных вод.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Мероприятия по вывозу смеси осадков механической и биологической очистки хозяйственно-бытовых и смешанных вод, накопленных СМУП «ПО ЖКХ» и СМУП «Водоканал», общим объемом 3322 куб. м.</w:t>
            </w:r>
          </w:p>
        </w:tc>
      </w:tr>
      <w:tr w:rsidR="00D81973" w:rsidRPr="00667059" w:rsidTr="00AA1D5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8. Отсутствие учета потребляемых энергетических ресурсов.</w:t>
            </w:r>
            <w:r w:rsidRPr="00D8197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Обеспечивать соответствие зданий, строений, сооружений установленным требованиям энергетической эффективности и требованиям их оснащенности приборами учета используемых энергетических ресурсов в течение всего срока их службы путем организации их надлежащей эксплуатации и своевременного устранения выявленных несоответствий.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81973">
              <w:rPr>
                <w:color w:val="000000"/>
                <w:sz w:val="24"/>
                <w:szCs w:val="24"/>
                <w:lang w:eastAsia="en-US"/>
              </w:rPr>
              <w:t>Установить 41 прибор учета коммунальных ресурсов в муниципальных бюджетных учреждениях.</w:t>
            </w:r>
          </w:p>
        </w:tc>
      </w:tr>
    </w:tbl>
    <w:p w:rsidR="00D81973" w:rsidRPr="00D81973" w:rsidRDefault="00D81973" w:rsidP="00D81973">
      <w:pPr>
        <w:pStyle w:val="2"/>
        <w:shd w:val="clear" w:color="auto" w:fill="FFFFFF"/>
        <w:jc w:val="left"/>
        <w:rPr>
          <w:color w:val="000000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41" w:name="_Toc242279731"/>
      <w:r w:rsidRPr="00D81973">
        <w:rPr>
          <w:color w:val="000000"/>
          <w:szCs w:val="24"/>
        </w:rPr>
        <w:t>5. Внешнее благоустройство и дорожное хозяйство</w:t>
      </w:r>
      <w:bookmarkEnd w:id="40"/>
      <w:bookmarkEnd w:id="41"/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bookmarkStart w:id="42" w:name="_Toc16152561"/>
      <w:r w:rsidRPr="00D81973">
        <w:rPr>
          <w:b/>
          <w:bCs/>
          <w:color w:val="000000"/>
          <w:sz w:val="24"/>
          <w:szCs w:val="24"/>
        </w:rPr>
        <w:t>Ожидаемые итоги 2026 года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ab/>
        <w:t>Деятельность по благоустройству городских территорий направлена на улучшение качества, увеличение периодичности и объемов работ.</w:t>
      </w:r>
    </w:p>
    <w:p w:rsidR="00D81973" w:rsidRPr="00D81973" w:rsidRDefault="00D81973" w:rsidP="00D81973">
      <w:pPr>
        <w:pStyle w:val="a9"/>
        <w:shd w:val="clear" w:color="auto" w:fill="FFFFFF"/>
        <w:ind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>В целях повышения комфортности проживания жителей города, связанных с улучшением эстетического состояния городских территорий, в 2026 году планируется ряд мероприятий, в том числе:</w:t>
      </w:r>
    </w:p>
    <w:p w:rsidR="00D81973" w:rsidRPr="00D81973" w:rsidRDefault="00D81973" w:rsidP="00D81973">
      <w:pPr>
        <w:pStyle w:val="a9"/>
        <w:numPr>
          <w:ilvl w:val="0"/>
          <w:numId w:val="6"/>
        </w:numPr>
        <w:shd w:val="clear" w:color="auto" w:fill="FFFFFF"/>
        <w:ind w:left="0"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>В рамках мероприятий по обеспечению санитарного содержания территорий общего пользования планируется: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</w:tabs>
        <w:ind w:left="0"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По муниципальному заданию, выполняемому подведомственным учреждением СМБУ «Спецавтотранс»:</w:t>
      </w:r>
    </w:p>
    <w:p w:rsidR="00D81973" w:rsidRPr="00D81973" w:rsidRDefault="00D81973" w:rsidP="00D81973">
      <w:pPr>
        <w:pStyle w:val="a9"/>
        <w:numPr>
          <w:ilvl w:val="0"/>
          <w:numId w:val="7"/>
        </w:numPr>
        <w:shd w:val="clear" w:color="auto" w:fill="FFFFFF"/>
        <w:tabs>
          <w:tab w:val="left" w:pos="0"/>
        </w:tabs>
        <w:ind w:left="0"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>содержание проезжих частей улиц, промзоны и подъездных дорог;</w:t>
      </w:r>
    </w:p>
    <w:p w:rsidR="00D81973" w:rsidRPr="00D81973" w:rsidRDefault="00D81973" w:rsidP="00D81973">
      <w:pPr>
        <w:pStyle w:val="a9"/>
        <w:numPr>
          <w:ilvl w:val="0"/>
          <w:numId w:val="7"/>
        </w:numPr>
        <w:shd w:val="clear" w:color="auto" w:fill="FFFFFF"/>
        <w:tabs>
          <w:tab w:val="left" w:pos="0"/>
        </w:tabs>
        <w:ind w:left="0"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санитарное содержание парка Приморский, поймы реки Коваши, экотропы озера Калищенское, побережья Финского залива.  </w:t>
      </w:r>
    </w:p>
    <w:p w:rsidR="00D81973" w:rsidRPr="00D81973" w:rsidRDefault="00D81973" w:rsidP="00D81973">
      <w:pPr>
        <w:pStyle w:val="a9"/>
        <w:numPr>
          <w:ilvl w:val="0"/>
          <w:numId w:val="6"/>
        </w:numPr>
        <w:shd w:val="clear" w:color="auto" w:fill="FFFFFF"/>
        <w:ind w:left="0"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>В рамках мероприятий по ремонту улично-дорожной сети планируется проведение ремонта по следующим адресам:</w:t>
      </w:r>
    </w:p>
    <w:p w:rsidR="00D81973" w:rsidRPr="00D81973" w:rsidRDefault="00D81973" w:rsidP="00D81973">
      <w:pPr>
        <w:pStyle w:val="a9"/>
        <w:shd w:val="clear" w:color="auto" w:fill="FFFFFF"/>
        <w:ind w:firstLine="709"/>
        <w:rPr>
          <w:rFonts w:ascii="Calibri" w:hAnsi="Calibri" w:cs="Adobe Devanagari"/>
          <w:color w:val="000000"/>
          <w:szCs w:val="24"/>
        </w:rPr>
      </w:pPr>
      <w:r w:rsidRPr="00D81973">
        <w:rPr>
          <w:color w:val="000000"/>
          <w:szCs w:val="24"/>
        </w:rPr>
        <w:t>2.1. ул. Ленинградская (от часовни до пересечения с пр-том Героев (обе полосы)),</w:t>
      </w:r>
      <w:r w:rsidRPr="00D81973">
        <w:rPr>
          <w:color w:val="000000"/>
          <w:szCs w:val="24"/>
        </w:rPr>
        <w:br/>
        <w:t>всего планируется отремонтировать 9 244 м</w:t>
      </w:r>
      <w:r w:rsidRPr="00D81973">
        <w:rPr>
          <w:rFonts w:ascii="Adobe Devanagari" w:hAnsi="Adobe Devanagari" w:cs="Adobe Devanagari"/>
          <w:color w:val="000000"/>
          <w:szCs w:val="24"/>
        </w:rPr>
        <w:t>²</w:t>
      </w:r>
      <w:r w:rsidRPr="00D81973">
        <w:rPr>
          <w:rFonts w:ascii="Calibri" w:hAnsi="Calibri" w:cs="Adobe Devanagari"/>
          <w:color w:val="000000"/>
          <w:szCs w:val="24"/>
        </w:rPr>
        <w:t xml:space="preserve">; </w:t>
      </w:r>
    </w:p>
    <w:p w:rsidR="00D81973" w:rsidRPr="00D81973" w:rsidRDefault="00D81973" w:rsidP="00D81973">
      <w:pPr>
        <w:pStyle w:val="a9"/>
        <w:shd w:val="clear" w:color="auto" w:fill="FFFFFF"/>
        <w:ind w:firstLine="709"/>
        <w:rPr>
          <w:rFonts w:ascii="Calibri" w:hAnsi="Calibri"/>
          <w:color w:val="000000"/>
          <w:szCs w:val="24"/>
        </w:rPr>
      </w:pPr>
      <w:r w:rsidRPr="00D81973">
        <w:rPr>
          <w:color w:val="000000"/>
          <w:szCs w:val="24"/>
        </w:rPr>
        <w:t>2.2. для поддержания улично-дорожной сети города в нормативном состоянии планируется проведение ямочного ремонта силами СМБУ «Спецавтотранс».</w:t>
      </w:r>
    </w:p>
    <w:p w:rsidR="00D81973" w:rsidRPr="00D81973" w:rsidRDefault="00D81973" w:rsidP="00D81973">
      <w:pPr>
        <w:pStyle w:val="a9"/>
        <w:numPr>
          <w:ilvl w:val="0"/>
          <w:numId w:val="6"/>
        </w:numPr>
        <w:shd w:val="clear" w:color="auto" w:fill="FFFFFF"/>
        <w:ind w:left="0"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В рамках мероприятий по обеспечению безопасности дорожного движения планируется: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нанесение новой и обновление имеющейся дорожной разметки на проезжих частях города,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851"/>
          <w:tab w:val="left" w:pos="1560"/>
        </w:tabs>
        <w:ind w:left="0" w:firstLine="709"/>
        <w:rPr>
          <w:color w:val="000000"/>
          <w:szCs w:val="24"/>
        </w:rPr>
      </w:pPr>
      <w:r w:rsidRPr="00D81973">
        <w:rPr>
          <w:color w:val="000000"/>
          <w:szCs w:val="24"/>
        </w:rPr>
        <w:t>установка дорожных знаков и искусственных дорожных неровностей,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851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обслуживание и аварийно-восстановительные работы имеющихся средств организации дорожного движения.</w:t>
      </w:r>
    </w:p>
    <w:p w:rsidR="00D81973" w:rsidRPr="00D81973" w:rsidRDefault="00D81973" w:rsidP="00D81973">
      <w:pPr>
        <w:pStyle w:val="a9"/>
        <w:numPr>
          <w:ilvl w:val="0"/>
          <w:numId w:val="6"/>
        </w:numPr>
        <w:shd w:val="clear" w:color="auto" w:fill="FFFFFF"/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В рамках мероприятия по содержанию и ремонту объектов благоустройства планируется: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lastRenderedPageBreak/>
        <w:t xml:space="preserve"> ремонт и окраска малых форм (скамейки, ограждения, цветники, декоративные формы) и постоянный контроль их состояния;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содержание и обслуживание общественных туалетов;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охрана части парка «Приморский» (объект благоустройства от ул. Ленинградская (сквер им. Александрова) до ул. Соколова;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для поддержания санитарного состояния на пляжах города планируется установка и обслуживание 3 туалетных кабин в максимальной комплектации с электрическим конвектором;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содержание и текущий ремонт детских игровых площадок с заменого песка в песочницах и ремонтом навесного оборудования;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замена игрового оборудования на детских площадках по адресам:</w:t>
      </w:r>
    </w:p>
    <w:p w:rsidR="00D81973" w:rsidRPr="00D81973" w:rsidRDefault="00D81973" w:rsidP="00D81973">
      <w:pPr>
        <w:pStyle w:val="a9"/>
        <w:numPr>
          <w:ilvl w:val="0"/>
          <w:numId w:val="41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пр-т Героев 8,</w:t>
      </w:r>
    </w:p>
    <w:p w:rsidR="00D81973" w:rsidRPr="00D81973" w:rsidRDefault="00D81973" w:rsidP="00D81973">
      <w:pPr>
        <w:pStyle w:val="a9"/>
        <w:numPr>
          <w:ilvl w:val="0"/>
          <w:numId w:val="41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пр-т Героев 22,</w:t>
      </w:r>
    </w:p>
    <w:p w:rsidR="00D81973" w:rsidRPr="00D81973" w:rsidRDefault="00D81973" w:rsidP="00D81973">
      <w:pPr>
        <w:pStyle w:val="a9"/>
        <w:numPr>
          <w:ilvl w:val="0"/>
          <w:numId w:val="41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пр-т Героев 38, </w:t>
      </w:r>
    </w:p>
    <w:p w:rsidR="00D81973" w:rsidRPr="00D81973" w:rsidRDefault="00D81973" w:rsidP="00D81973">
      <w:pPr>
        <w:pStyle w:val="a9"/>
        <w:numPr>
          <w:ilvl w:val="0"/>
          <w:numId w:val="41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пр-т Героев 64</w:t>
      </w:r>
    </w:p>
    <w:p w:rsidR="00D81973" w:rsidRPr="00D81973" w:rsidRDefault="00D81973" w:rsidP="00D81973">
      <w:pPr>
        <w:pStyle w:val="a9"/>
        <w:numPr>
          <w:ilvl w:val="0"/>
          <w:numId w:val="41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ул. 50 лет Октября 15,</w:t>
      </w:r>
    </w:p>
    <w:p w:rsidR="00D81973" w:rsidRPr="00D81973" w:rsidRDefault="00D81973" w:rsidP="00D81973">
      <w:pPr>
        <w:pStyle w:val="a9"/>
        <w:numPr>
          <w:ilvl w:val="0"/>
          <w:numId w:val="41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ул. Парковая, 14</w:t>
      </w:r>
    </w:p>
    <w:p w:rsidR="00D81973" w:rsidRPr="00D81973" w:rsidRDefault="00D81973" w:rsidP="00D81973">
      <w:pPr>
        <w:pStyle w:val="a9"/>
        <w:numPr>
          <w:ilvl w:val="0"/>
          <w:numId w:val="41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ул. Красных Фортов 16,</w:t>
      </w:r>
    </w:p>
    <w:p w:rsidR="00D81973" w:rsidRPr="00D81973" w:rsidRDefault="00D81973" w:rsidP="00D81973">
      <w:pPr>
        <w:pStyle w:val="a9"/>
        <w:numPr>
          <w:ilvl w:val="0"/>
          <w:numId w:val="41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ул. Малая Земля 14,</w:t>
      </w:r>
    </w:p>
    <w:p w:rsidR="00D81973" w:rsidRPr="00D81973" w:rsidRDefault="00D81973" w:rsidP="00D81973">
      <w:pPr>
        <w:pStyle w:val="a9"/>
        <w:numPr>
          <w:ilvl w:val="0"/>
          <w:numId w:val="41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ул. Ленинградская 66 (кластер «Бабочка»),</w:t>
      </w:r>
    </w:p>
    <w:p w:rsidR="00D81973" w:rsidRPr="00D81973" w:rsidRDefault="00D81973" w:rsidP="00D81973">
      <w:pPr>
        <w:pStyle w:val="a9"/>
        <w:numPr>
          <w:ilvl w:val="0"/>
          <w:numId w:val="41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ул. Парковая 72;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установка и обслуживание системы видеонаблюдения на площадках ТКО для предотвращения образования несанкционированных свалок.</w:t>
      </w:r>
    </w:p>
    <w:p w:rsidR="00D81973" w:rsidRPr="00D81973" w:rsidRDefault="00D81973" w:rsidP="00D81973">
      <w:pPr>
        <w:pStyle w:val="a9"/>
        <w:numPr>
          <w:ilvl w:val="0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jc w:val="left"/>
        <w:rPr>
          <w:color w:val="000000"/>
          <w:szCs w:val="24"/>
        </w:rPr>
      </w:pPr>
      <w:r w:rsidRPr="00D81973">
        <w:rPr>
          <w:color w:val="000000"/>
          <w:szCs w:val="24"/>
        </w:rPr>
        <w:t>В рамках мероприятия по обращению с отходами планируется: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для поддержания санитарного содержания на площадках для накопления ТКО планируется проведение дезинфекции площадок и установленных на них контейнеров для ТКО и КГО;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по муниципальному заданию, выполняемому подведомственным учреждением СМБУ «Спецавтотранс»:</w:t>
      </w:r>
    </w:p>
    <w:p w:rsidR="00D81973" w:rsidRPr="00D81973" w:rsidRDefault="00D81973" w:rsidP="00D81973">
      <w:pPr>
        <w:pStyle w:val="a9"/>
        <w:numPr>
          <w:ilvl w:val="0"/>
          <w:numId w:val="37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уборка несанкционированных свалок,</w:t>
      </w:r>
    </w:p>
    <w:p w:rsidR="00D81973" w:rsidRPr="00D81973" w:rsidRDefault="00D81973" w:rsidP="00D81973">
      <w:pPr>
        <w:pStyle w:val="a9"/>
        <w:numPr>
          <w:ilvl w:val="0"/>
          <w:numId w:val="37"/>
        </w:numPr>
        <w:shd w:val="clear" w:color="auto" w:fill="FFFFFF"/>
        <w:tabs>
          <w:tab w:val="left" w:pos="993"/>
          <w:tab w:val="left" w:pos="1560"/>
        </w:tabs>
        <w:ind w:left="0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уборка контейнерных площадок.</w:t>
      </w:r>
    </w:p>
    <w:p w:rsidR="00D81973" w:rsidRPr="00D81973" w:rsidRDefault="00D81973" w:rsidP="00D81973">
      <w:pPr>
        <w:pStyle w:val="a9"/>
        <w:numPr>
          <w:ilvl w:val="0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jc w:val="left"/>
        <w:rPr>
          <w:color w:val="000000"/>
          <w:szCs w:val="24"/>
        </w:rPr>
      </w:pPr>
      <w:r w:rsidRPr="00D81973">
        <w:rPr>
          <w:color w:val="000000"/>
          <w:szCs w:val="24"/>
        </w:rPr>
        <w:t>В рамках мероприятия по содержанию и уходу за зелеными насаждениями планируется: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акарицидная обработка общественных территорий города, а также территорий, на которых базируются детские летние лагеря отдыха;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проведение комплексных мероприятий (агротехнических, химических, механических) по борьбе с борщевиком Сосновского. К обработке планируется территория 2,9 га;</w:t>
      </w:r>
    </w:p>
    <w:p w:rsidR="00D81973" w:rsidRPr="00D81973" w:rsidRDefault="00D81973" w:rsidP="00D81973">
      <w:pPr>
        <w:pStyle w:val="a9"/>
        <w:numPr>
          <w:ilvl w:val="1"/>
          <w:numId w:val="6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выполнение работ по цветочному оформлению города;</w:t>
      </w:r>
    </w:p>
    <w:p w:rsidR="00D81973" w:rsidRPr="00D81973" w:rsidRDefault="00D81973" w:rsidP="00D81973">
      <w:pPr>
        <w:pStyle w:val="a9"/>
        <w:numPr>
          <w:ilvl w:val="0"/>
          <w:numId w:val="9"/>
        </w:numPr>
        <w:shd w:val="clear" w:color="auto" w:fill="FFFFFF"/>
        <w:tabs>
          <w:tab w:val="left" w:pos="993"/>
          <w:tab w:val="left" w:pos="1560"/>
        </w:tabs>
        <w:ind w:left="0" w:right="-1"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по муниципальному заданию, выполняемому подведомственным учреждением СМБУ «Спецавтотранс» будет осуществлен текущий уход за зелеными насаждениями (стрижка кустарников, прополка, подкормка удобрениями, полив, выкашивание придорожных газонов и т.п.).</w:t>
      </w:r>
    </w:p>
    <w:p w:rsidR="00D81973" w:rsidRPr="00D81973" w:rsidRDefault="00D81973" w:rsidP="00D81973">
      <w:pPr>
        <w:pStyle w:val="a9"/>
        <w:shd w:val="clear" w:color="auto" w:fill="FFFFFF"/>
        <w:ind w:firstLine="426"/>
        <w:rPr>
          <w:color w:val="000000"/>
          <w:szCs w:val="24"/>
        </w:rPr>
      </w:pPr>
      <w:r w:rsidRPr="00D81973">
        <w:rPr>
          <w:color w:val="000000"/>
          <w:szCs w:val="24"/>
        </w:rPr>
        <w:t>Все работы проводятся в рамках муниципальной программы «Городское хозяйство на 2014-2030 годы».</w:t>
      </w:r>
    </w:p>
    <w:p w:rsidR="00D81973" w:rsidRPr="00D81973" w:rsidRDefault="00D81973" w:rsidP="00D81973">
      <w:pPr>
        <w:pStyle w:val="a9"/>
        <w:shd w:val="clear" w:color="auto" w:fill="FFFFFF"/>
        <w:ind w:firstLine="709"/>
        <w:rPr>
          <w:color w:val="000000"/>
          <w:szCs w:val="24"/>
        </w:rPr>
      </w:pPr>
    </w:p>
    <w:p w:rsidR="00D81973" w:rsidRPr="00D81973" w:rsidRDefault="00D81973" w:rsidP="00D81973">
      <w:pPr>
        <w:pStyle w:val="a9"/>
        <w:keepNext/>
        <w:shd w:val="clear" w:color="auto" w:fill="FFFFFF"/>
        <w:ind w:firstLine="709"/>
        <w:rPr>
          <w:b/>
          <w:color w:val="000000"/>
          <w:szCs w:val="24"/>
        </w:rPr>
      </w:pPr>
      <w:r w:rsidRPr="00D81973">
        <w:rPr>
          <w:b/>
          <w:color w:val="000000"/>
          <w:szCs w:val="24"/>
        </w:rPr>
        <w:t xml:space="preserve">Прогноз на 2027-2029 годы. </w:t>
      </w:r>
    </w:p>
    <w:p w:rsidR="00D81973" w:rsidRPr="00D81973" w:rsidRDefault="00D81973" w:rsidP="00D81973">
      <w:pPr>
        <w:pStyle w:val="a9"/>
        <w:shd w:val="clear" w:color="auto" w:fill="FFFFFF"/>
        <w:ind w:right="-1" w:firstLine="708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Решение задач благоустройства планируется в рамках реализации муниципальной программы «Городское хозяйство на 2014-2030 годы», согласно которой будут выполнены мероприятия, обеспечивающие повышение уровня комфортности проживания жителей Сосновоборского округа, в том числе: </w:t>
      </w:r>
    </w:p>
    <w:p w:rsidR="00D81973" w:rsidRPr="00D81973" w:rsidRDefault="00D81973" w:rsidP="00D81973">
      <w:pPr>
        <w:pStyle w:val="a9"/>
        <w:numPr>
          <w:ilvl w:val="0"/>
          <w:numId w:val="45"/>
        </w:numPr>
        <w:shd w:val="clear" w:color="auto" w:fill="FFFFFF"/>
        <w:spacing w:before="120"/>
        <w:ind w:left="567" w:firstLine="0"/>
        <w:rPr>
          <w:color w:val="000000"/>
          <w:szCs w:val="24"/>
        </w:rPr>
      </w:pPr>
      <w:r w:rsidRPr="00D81973">
        <w:rPr>
          <w:color w:val="000000"/>
          <w:szCs w:val="24"/>
        </w:rPr>
        <w:lastRenderedPageBreak/>
        <w:t xml:space="preserve"> в рамках проектных мероприятий муниципальной программы планируется:</w:t>
      </w:r>
    </w:p>
    <w:p w:rsidR="00D81973" w:rsidRPr="00D81973" w:rsidRDefault="00D81973" w:rsidP="00D81973">
      <w:pPr>
        <w:pStyle w:val="a9"/>
        <w:numPr>
          <w:ilvl w:val="0"/>
          <w:numId w:val="42"/>
        </w:numPr>
        <w:shd w:val="clear" w:color="auto" w:fill="FFFFFF"/>
        <w:ind w:left="0" w:right="-1" w:firstLine="360"/>
        <w:rPr>
          <w:color w:val="000000"/>
          <w:szCs w:val="24"/>
        </w:rPr>
      </w:pPr>
      <w:r w:rsidRPr="00D81973">
        <w:rPr>
          <w:color w:val="000000"/>
          <w:szCs w:val="24"/>
        </w:rPr>
        <w:t>реализация Отраслевого проекта "Развитие и приведение в нормативное состояние автомобильных дорог общего пользования", включающего, в том числе, мероприятия по приведению в нормативное состояние автомобильных дорог общего пользования, обеспечивающих доступ к садоводческим некоммерческим товариществам, мероприятия по капитальному ремонту и(или) ремонту автомобильных дорог общего пользования местного значения, мероприятия по обеспечению безопасности дорожного движения на автомобильных дорогах общего пользования местного значения;</w:t>
      </w:r>
    </w:p>
    <w:p w:rsidR="00D81973" w:rsidRPr="00D81973" w:rsidRDefault="00D81973" w:rsidP="00D81973">
      <w:pPr>
        <w:pStyle w:val="a9"/>
        <w:numPr>
          <w:ilvl w:val="0"/>
          <w:numId w:val="42"/>
        </w:numPr>
        <w:shd w:val="clear" w:color="auto" w:fill="FFFFFF"/>
        <w:ind w:left="0" w:right="-1" w:firstLine="360"/>
        <w:rPr>
          <w:color w:val="000000"/>
          <w:szCs w:val="24"/>
        </w:rPr>
      </w:pPr>
      <w:r w:rsidRPr="00D81973">
        <w:rPr>
          <w:color w:val="000000"/>
          <w:szCs w:val="24"/>
        </w:rPr>
        <w:t>реализация Отраслевого проекта "Эффективное обращение с отходами производства и потребления на территории Ленинградской области", включающего, в том числе, мероприятия по оснащению мест (площадок) накопления твердых коммунальных отходов, мероприятия по ремонту и модернизации мест (площадок) накопления твердых коммунальных отходов</w:t>
      </w:r>
    </w:p>
    <w:p w:rsidR="00D81973" w:rsidRPr="00D81973" w:rsidRDefault="00D81973" w:rsidP="00D81973">
      <w:pPr>
        <w:pStyle w:val="a9"/>
        <w:numPr>
          <w:ilvl w:val="0"/>
          <w:numId w:val="45"/>
        </w:numPr>
        <w:shd w:val="clear" w:color="auto" w:fill="FFFFFF"/>
        <w:spacing w:before="120"/>
        <w:ind w:left="567" w:firstLine="0"/>
        <w:rPr>
          <w:color w:val="000000"/>
          <w:szCs w:val="24"/>
        </w:rPr>
      </w:pPr>
      <w:r w:rsidRPr="00D81973">
        <w:rPr>
          <w:color w:val="000000"/>
          <w:szCs w:val="24"/>
        </w:rPr>
        <w:t xml:space="preserve"> в рамках процессных мероприятий муниципальной программы планируется:</w:t>
      </w:r>
    </w:p>
    <w:p w:rsidR="00D81973" w:rsidRPr="00D81973" w:rsidRDefault="00D81973" w:rsidP="00D81973">
      <w:pPr>
        <w:pStyle w:val="aff2"/>
        <w:numPr>
          <w:ilvl w:val="0"/>
          <w:numId w:val="42"/>
        </w:numPr>
        <w:shd w:val="clear" w:color="auto" w:fill="FFFFFF"/>
        <w:ind w:left="0" w:firstLine="360"/>
        <w:jc w:val="both"/>
        <w:rPr>
          <w:color w:val="000000"/>
        </w:rPr>
      </w:pPr>
      <w:r w:rsidRPr="00D81973">
        <w:rPr>
          <w:color w:val="000000"/>
        </w:rPr>
        <w:t xml:space="preserve"> реализация мероприятий по содержанию территорий общего пользования Сосновоборского городского округа, включающих, в том числе, уборку города, ремонт улично-дорожной сети и обеспечение безопасности дорожного движения; </w:t>
      </w:r>
    </w:p>
    <w:p w:rsidR="00D81973" w:rsidRPr="00D81973" w:rsidRDefault="00D81973" w:rsidP="00D81973">
      <w:pPr>
        <w:pStyle w:val="aff2"/>
        <w:numPr>
          <w:ilvl w:val="0"/>
          <w:numId w:val="42"/>
        </w:numPr>
        <w:shd w:val="clear" w:color="auto" w:fill="FFFFFF"/>
        <w:ind w:left="0" w:firstLine="360"/>
        <w:jc w:val="both"/>
        <w:rPr>
          <w:color w:val="000000"/>
        </w:rPr>
      </w:pPr>
      <w:r w:rsidRPr="00D81973">
        <w:rPr>
          <w:color w:val="000000"/>
        </w:rPr>
        <w:t>реализация мероприятий по содержанию и ремонту объектов благоустройства Сосновоборского городского округа, включающих, в том числе содержание детских и спортивных площадок, поставку и ремонт малых архитектурных форм, содержание и ремонт общественных туалетов, содержание объектов благоустройства;</w:t>
      </w:r>
    </w:p>
    <w:p w:rsidR="00D81973" w:rsidRPr="00D81973" w:rsidRDefault="00D81973" w:rsidP="00D81973">
      <w:pPr>
        <w:pStyle w:val="aff2"/>
        <w:numPr>
          <w:ilvl w:val="0"/>
          <w:numId w:val="42"/>
        </w:numPr>
        <w:shd w:val="clear" w:color="auto" w:fill="FFFFFF"/>
        <w:ind w:left="0" w:firstLine="360"/>
        <w:jc w:val="both"/>
        <w:rPr>
          <w:color w:val="000000"/>
        </w:rPr>
      </w:pPr>
      <w:r w:rsidRPr="00D81973">
        <w:rPr>
          <w:color w:val="000000"/>
        </w:rPr>
        <w:t>реализация мероприятий по обращению с отходами, включающих, в том числе, вывоз ТБО с селитебной части города, кладбищ и мемориалов, общегородские мероприятия по благоустройству и улучшению санитарного состояния города, дезинфекцию площадок ТКО, переработку и утилизацию веток и порубочных остатков, сбор и транспортирование строительных отходов, ликвидацию несанкционированных свалок;</w:t>
      </w:r>
    </w:p>
    <w:p w:rsidR="00D81973" w:rsidRPr="00D81973" w:rsidRDefault="00D81973" w:rsidP="00D81973">
      <w:pPr>
        <w:pStyle w:val="aff2"/>
        <w:numPr>
          <w:ilvl w:val="0"/>
          <w:numId w:val="42"/>
        </w:numPr>
        <w:shd w:val="clear" w:color="auto" w:fill="FFFFFF"/>
        <w:ind w:left="0" w:firstLine="360"/>
        <w:jc w:val="both"/>
        <w:rPr>
          <w:color w:val="000000"/>
        </w:rPr>
      </w:pPr>
      <w:r w:rsidRPr="00D81973">
        <w:rPr>
          <w:color w:val="000000"/>
        </w:rPr>
        <w:t xml:space="preserve">реализация мероприятий по содержанию системы дренажно-ливневой канализации Сосновоборского городского округа, включающих, в том числе, </w:t>
      </w:r>
      <w:r w:rsidRPr="00D81973">
        <w:rPr>
          <w:bCs/>
          <w:color w:val="000000"/>
        </w:rPr>
        <w:t>содержание и капитальный ремонт дренажно-ливневой канализации и насосных станций;</w:t>
      </w:r>
    </w:p>
    <w:p w:rsidR="00D81973" w:rsidRPr="00D81973" w:rsidRDefault="00D81973" w:rsidP="00D81973">
      <w:pPr>
        <w:pStyle w:val="aff2"/>
        <w:numPr>
          <w:ilvl w:val="0"/>
          <w:numId w:val="42"/>
        </w:numPr>
        <w:shd w:val="clear" w:color="auto" w:fill="FFFFFF"/>
        <w:ind w:left="0" w:firstLine="360"/>
        <w:jc w:val="both"/>
        <w:rPr>
          <w:color w:val="000000"/>
        </w:rPr>
      </w:pPr>
      <w:r w:rsidRPr="00D81973">
        <w:rPr>
          <w:color w:val="000000"/>
        </w:rPr>
        <w:t xml:space="preserve">реализация мероприятий по содержанию и уходу за зелеными насаждениями на территории Сосновоборского городского округа включающих, в том числе, покос газонов, уход, восстановление и </w:t>
      </w:r>
      <w:r w:rsidRPr="00D81973">
        <w:rPr>
          <w:color w:val="000000"/>
          <w:shd w:val="clear" w:color="auto" w:fill="FFFFFF"/>
        </w:rPr>
        <w:t>посадку</w:t>
      </w:r>
      <w:r w:rsidRPr="00D81973">
        <w:rPr>
          <w:color w:val="000000"/>
        </w:rPr>
        <w:t xml:space="preserve"> зеленых насаждений, работы по борьбе с борщевиком на улично-дорожной сети в границах Сосновоборского городского округа, акарицидную обработка скверов и парков города, территорий массового отдыха, территорий вокруг лагерей отдыха детей в летний период.</w:t>
      </w:r>
    </w:p>
    <w:p w:rsidR="00D81973" w:rsidRPr="00D81973" w:rsidRDefault="00D81973" w:rsidP="00D81973">
      <w:pPr>
        <w:pStyle w:val="a9"/>
        <w:shd w:val="clear" w:color="auto" w:fill="FFFFFF"/>
        <w:spacing w:before="120"/>
        <w:ind w:firstLine="851"/>
        <w:rPr>
          <w:color w:val="000000"/>
          <w:szCs w:val="24"/>
        </w:rPr>
      </w:pPr>
      <w:r w:rsidRPr="00D81973">
        <w:rPr>
          <w:color w:val="000000"/>
          <w:szCs w:val="24"/>
        </w:rPr>
        <w:t>Кроме того, отделом внешнего благоустройства и дорожного хозяйства администрации планируется продолжить работу по регулированию численности безнадзорных животных (стерилизация и кастрация) в рамках внепрограммных мероприятий по осуществлению отдельных государственных полномочий в сфере обращения с животными без владельцев.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9"/>
        <w:gridCol w:w="5547"/>
      </w:tblGrid>
      <w:tr w:rsidR="00D81973" w:rsidRPr="00667059" w:rsidTr="00AA1D5B">
        <w:tc>
          <w:tcPr>
            <w:tcW w:w="4217" w:type="dxa"/>
          </w:tcPr>
          <w:p w:rsidR="00D81973" w:rsidRPr="00D81973" w:rsidRDefault="00D81973" w:rsidP="00D81973">
            <w:pPr>
              <w:keepNext/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Основные проблемы</w:t>
            </w:r>
          </w:p>
        </w:tc>
        <w:tc>
          <w:tcPr>
            <w:tcW w:w="5812" w:type="dxa"/>
          </w:tcPr>
          <w:p w:rsidR="00D81973" w:rsidRPr="00D81973" w:rsidRDefault="00D81973" w:rsidP="00D81973">
            <w:pPr>
              <w:keepNext/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Предполагаемые пути решения</w:t>
            </w:r>
          </w:p>
        </w:tc>
      </w:tr>
      <w:tr w:rsidR="00D81973" w:rsidRPr="00667059" w:rsidTr="00AA1D5B">
        <w:tc>
          <w:tcPr>
            <w:tcW w:w="4217" w:type="dxa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 xml:space="preserve">Физический и моральный износ объектов внешнего благоустройства (детских и спортивных площадок), в связи с этим, нецелесообразность выполнения ремонтов. </w:t>
            </w:r>
          </w:p>
        </w:tc>
        <w:tc>
          <w:tcPr>
            <w:tcW w:w="5812" w:type="dxa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 xml:space="preserve">Реконструкция и/или строительство новых объектов. Предусматривать в бюджете средства на приобретение новых малых форм, а также на выполнение работ по строительству новых современных детских игровых городков и спортивных площадок. </w:t>
            </w:r>
          </w:p>
        </w:tc>
      </w:tr>
    </w:tbl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43" w:name="_Toc242279732"/>
      <w:r w:rsidRPr="00D81973">
        <w:rPr>
          <w:color w:val="000000"/>
          <w:szCs w:val="24"/>
        </w:rPr>
        <w:t>6. Улучшение жилищных условий</w:t>
      </w:r>
      <w:bookmarkEnd w:id="42"/>
      <w:bookmarkEnd w:id="43"/>
    </w:p>
    <w:p w:rsidR="00D81973" w:rsidRPr="00D81973" w:rsidRDefault="00D81973" w:rsidP="00D81973">
      <w:pPr>
        <w:shd w:val="clear" w:color="auto" w:fill="FFFFFF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pStyle w:val="21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Ожидаемые итоги 2026 года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>Прогноз составлен на основе проведенного анализа обеспечения жильем граждан.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течение 2026 года планируется улучшение жилищных условий 49 семей: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1) В рамках реализации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 - 12 семей, в том числе в рамках реализации мероприятия: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- по улучшению жилищных условий граждан с использованием средств ипотечного кредита (займа) - 5 семей;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- по улучшению жилищных условий молодых граждан (молодых семей) - 7 семей.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2)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- 2 семей.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3) В рамках реализации муниципальной программы «Жилище на 2026-2030 годы» - 34 семей, в том числе: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по </w:t>
      </w:r>
      <w:r w:rsidRPr="00D81973">
        <w:rPr>
          <w:bCs/>
          <w:color w:val="000000"/>
          <w:sz w:val="24"/>
          <w:szCs w:val="24"/>
        </w:rPr>
        <w:t>мероприятию по предоставлению семьям (гражданам), нуждающимся в улучшении жилищных условий, социальных выплат на приобретение (строительство) жилья на территории Сосновоборского городского округа, на основе принципов ипотечного кредитования</w:t>
      </w:r>
      <w:r w:rsidRPr="00D81973">
        <w:rPr>
          <w:color w:val="000000"/>
          <w:sz w:val="24"/>
          <w:szCs w:val="24"/>
        </w:rPr>
        <w:t xml:space="preserve"> -3 семей;</w:t>
      </w:r>
    </w:p>
    <w:p w:rsidR="00D81973" w:rsidRPr="00D81973" w:rsidRDefault="00D81973" w:rsidP="00D8197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по </w:t>
      </w:r>
      <w:r w:rsidRPr="00D81973">
        <w:rPr>
          <w:bCs/>
          <w:color w:val="000000"/>
          <w:sz w:val="24"/>
          <w:szCs w:val="24"/>
        </w:rPr>
        <w:t>мероприятию по обеспечению жилыми помещениями работников муниципальной бюджетной сферы Сосновоборского городского округа</w:t>
      </w:r>
      <w:r w:rsidRPr="00D81973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81973">
        <w:rPr>
          <w:color w:val="000000"/>
          <w:sz w:val="24"/>
          <w:szCs w:val="24"/>
        </w:rPr>
        <w:t>- 12 семей;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по </w:t>
      </w:r>
      <w:r w:rsidRPr="00D81973">
        <w:rPr>
          <w:bCs/>
          <w:color w:val="000000"/>
          <w:sz w:val="24"/>
          <w:szCs w:val="24"/>
        </w:rPr>
        <w:t>мероприятию по предоставлению молодым семьям (молодым гражданам), нуждающимся в улучшении жилищных условий, социальных выплат на приобретение (строительство) жилья на территории Сосновоборского городского округа</w:t>
      </w:r>
      <w:r w:rsidRPr="00D81973">
        <w:rPr>
          <w:color w:val="000000"/>
          <w:sz w:val="24"/>
          <w:szCs w:val="24"/>
        </w:rPr>
        <w:t xml:space="preserve"> - 1 семьи;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по </w:t>
      </w:r>
      <w:r w:rsidRPr="00D81973">
        <w:rPr>
          <w:bCs/>
          <w:color w:val="000000"/>
          <w:sz w:val="24"/>
          <w:szCs w:val="24"/>
        </w:rPr>
        <w:t>мероприятию по предоставлению специалистам организаций, созданных для исполнения полномочий органов местного самоуправления и обеспечения их деятельности, нуждающимся в улучшении жилищных условий, социальной выплаты на приобретение (строительство) жилья на территории Сосновоборского городского округа</w:t>
      </w:r>
      <w:r w:rsidRPr="00D81973">
        <w:rPr>
          <w:color w:val="000000"/>
          <w:sz w:val="24"/>
          <w:szCs w:val="24"/>
        </w:rPr>
        <w:t>- 1 семьи;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по </w:t>
      </w:r>
      <w:r w:rsidRPr="00D81973">
        <w:rPr>
          <w:bCs/>
          <w:color w:val="000000"/>
          <w:sz w:val="24"/>
          <w:szCs w:val="24"/>
        </w:rPr>
        <w:t>мероприятию по выплате компенсации за аренду жилых помещений специалистам организаций, созданных для исполнения полномочий органов местного самоуправления и обеспечения их деятельности</w:t>
      </w:r>
      <w:r w:rsidRPr="00D81973">
        <w:rPr>
          <w:color w:val="000000"/>
          <w:sz w:val="24"/>
          <w:szCs w:val="24"/>
        </w:rPr>
        <w:t xml:space="preserve"> - 17 семей.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4) В 2026 году 1 семье, состоящей на учете в общегородской очереди под № 1,  предоставлено жилое помещение по договору социального найма, в порядке очередности.     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8"/>
        <w:jc w:val="both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Прогноз на 2027-2029 годы: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i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период 2027-2029 годов планируется улучшение жилищных условий 110 семей: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1) В рамках реализации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 - 6 семей, в том числе: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 рамках реализации мероприятия по улучшению жилищных условий молодых граждан (молодых семей) - 3 семей (1 семья ежегодно);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 рамках реализации мероприятия по улучшению жилищных условий граждан с использованием средств ипотечного кредита (займа) - 3 семей (1 семья ежегодно).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2) В рамках реализации муниципальной программы «Жилище на 2026-2030 годы» планируется улучшение жилищных условий 99 семей, в том числе: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</w:t>
      </w:r>
      <w:r w:rsidRPr="00D81973">
        <w:rPr>
          <w:bCs/>
          <w:color w:val="000000"/>
          <w:sz w:val="24"/>
          <w:szCs w:val="24"/>
        </w:rPr>
        <w:t xml:space="preserve"> по мероприятию по обеспечению жилыми помещениями работников муниципальной бюджетной сферы Сосновоборского городского округа</w:t>
      </w:r>
      <w:r w:rsidRPr="00D81973">
        <w:rPr>
          <w:color w:val="000000"/>
          <w:sz w:val="24"/>
          <w:szCs w:val="24"/>
        </w:rPr>
        <w:t xml:space="preserve"> – 36 семей (12 семей ежегодно);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по </w:t>
      </w:r>
      <w:r w:rsidRPr="00D81973">
        <w:rPr>
          <w:bCs/>
          <w:color w:val="000000"/>
          <w:sz w:val="24"/>
          <w:szCs w:val="24"/>
        </w:rPr>
        <w:t xml:space="preserve">мероприятию по обеспечению работников бюджетной сферы Сосновоборского городского округа жилыми помещениями специализированного жилищного фонда и жилищного фонда коммерческого использования </w:t>
      </w:r>
      <w:r w:rsidRPr="00D81973">
        <w:rPr>
          <w:color w:val="000000"/>
          <w:sz w:val="24"/>
          <w:szCs w:val="24"/>
        </w:rPr>
        <w:t>– 3 семей (1 семья ежегодно);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 xml:space="preserve">- по </w:t>
      </w:r>
      <w:r w:rsidRPr="00D81973">
        <w:rPr>
          <w:bCs/>
          <w:color w:val="000000"/>
          <w:sz w:val="24"/>
          <w:szCs w:val="24"/>
        </w:rPr>
        <w:t>мероприятию по предоставлению молодым семьям (молодым гражданам), нуждающимся в улучшении жилищных условий, социальных выплат на приобретение (строительство) жилья на территории Сосновоборского городского округа</w:t>
      </w:r>
      <w:r w:rsidRPr="00D81973">
        <w:rPr>
          <w:color w:val="000000"/>
          <w:sz w:val="24"/>
          <w:szCs w:val="24"/>
        </w:rPr>
        <w:t xml:space="preserve"> - 3 семей (1 семья ежегодно);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по </w:t>
      </w:r>
      <w:r w:rsidRPr="00D81973">
        <w:rPr>
          <w:bCs/>
          <w:color w:val="000000"/>
          <w:sz w:val="24"/>
          <w:szCs w:val="24"/>
        </w:rPr>
        <w:t>мероприятию по предоставлению семьям (гражданам), нуждающимся в улучшении жилищных условий, социальных выплат на приобретение (строительство) жилья на территории Сосновоборского городского округа, на основе принципов ипотечного кредитования</w:t>
      </w:r>
      <w:r w:rsidRPr="00D81973">
        <w:rPr>
          <w:color w:val="000000"/>
          <w:sz w:val="24"/>
          <w:szCs w:val="24"/>
        </w:rPr>
        <w:t xml:space="preserve"> - 3 семей (1 семья ежегодно);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по </w:t>
      </w:r>
      <w:r w:rsidRPr="00D81973">
        <w:rPr>
          <w:bCs/>
          <w:color w:val="000000"/>
          <w:sz w:val="24"/>
          <w:szCs w:val="24"/>
        </w:rPr>
        <w:t xml:space="preserve">мероприятию по предоставлению специалистам организаций, созданных для исполнения полномочий органов местного самоуправления и обеспечения их деятельности, нуждающимся в улучшении жилищных условий, социальной выплаты на приобретение (строительство) жилья на территории Сосновоборского городского округа - </w:t>
      </w:r>
      <w:r w:rsidRPr="00D81973">
        <w:rPr>
          <w:color w:val="000000"/>
          <w:sz w:val="24"/>
          <w:szCs w:val="24"/>
        </w:rPr>
        <w:t>3 семей (1 семья ежегодно);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по </w:t>
      </w:r>
      <w:r w:rsidRPr="00D81973">
        <w:rPr>
          <w:bCs/>
          <w:color w:val="000000"/>
          <w:sz w:val="24"/>
          <w:szCs w:val="24"/>
        </w:rPr>
        <w:t>мероприятию по выплате компенсации за аренду жилых помещений специалистам организаций, созданных для исполнения полномочий органов местного самоуправления и обеспечения их деятельности</w:t>
      </w:r>
      <w:r w:rsidRPr="00D81973">
        <w:rPr>
          <w:color w:val="000000"/>
          <w:sz w:val="24"/>
          <w:szCs w:val="24"/>
        </w:rPr>
        <w:t xml:space="preserve"> - 51 семьи (17 семей ежегодно).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3) В рамках реализации государственной программы Российской Федерации «Обеспечение доступным и комфортным жильем и коммунальными услугами граждан Российской Федерации» - 5 семей (в 2027 году-3 семей; в 2028, 2029 годах -1 семья ежегодно,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услуг»).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79"/>
        <w:gridCol w:w="5947"/>
      </w:tblGrid>
      <w:tr w:rsidR="00D81973" w:rsidRPr="00667059" w:rsidTr="00AA1D5B">
        <w:tc>
          <w:tcPr>
            <w:tcW w:w="3679" w:type="dxa"/>
          </w:tcPr>
          <w:p w:rsidR="00D81973" w:rsidRPr="00D81973" w:rsidRDefault="00D81973" w:rsidP="00D81973">
            <w:pPr>
              <w:keepNext/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Основные проблемы</w:t>
            </w:r>
          </w:p>
        </w:tc>
        <w:tc>
          <w:tcPr>
            <w:tcW w:w="5947" w:type="dxa"/>
          </w:tcPr>
          <w:p w:rsidR="00D81973" w:rsidRPr="00D81973" w:rsidRDefault="00D81973" w:rsidP="00D81973">
            <w:pPr>
              <w:keepNext/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Предполагаемые пути решения</w:t>
            </w:r>
          </w:p>
        </w:tc>
      </w:tr>
      <w:tr w:rsidR="00D81973" w:rsidRPr="00667059" w:rsidTr="00AA1D5B">
        <w:trPr>
          <w:trHeight w:val="1690"/>
        </w:trPr>
        <w:tc>
          <w:tcPr>
            <w:tcW w:w="3679" w:type="dxa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1. Отсутствие средств в местном бюджете на строительство или приобретение социального жилья. </w:t>
            </w:r>
          </w:p>
        </w:tc>
        <w:tc>
          <w:tcPr>
            <w:tcW w:w="5947" w:type="dxa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snapToGrid w:val="0"/>
                <w:color w:val="000000"/>
                <w:sz w:val="24"/>
                <w:szCs w:val="24"/>
              </w:rPr>
              <w:t>1.</w:t>
            </w:r>
            <w:r w:rsidRPr="00D81973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</w:t>
            </w:r>
            <w:r w:rsidRPr="00D81973">
              <w:rPr>
                <w:color w:val="000000"/>
                <w:sz w:val="24"/>
                <w:szCs w:val="24"/>
              </w:rPr>
              <w:t>Предусмотреть в местном бюджете средства на строительство или приобретение социального жилья для предоставления его очередникам по договорам социального найма.</w:t>
            </w:r>
          </w:p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 2025 году гражданину, состоящему на учёте в общегородской очереди под № 1, было предоставлено жилое помещение (квартира) по договору социального найма, в порядке очередности. В 2026 году жилое помещение предоставлено ещё одной семье очередника.</w:t>
            </w:r>
          </w:p>
        </w:tc>
      </w:tr>
      <w:tr w:rsidR="00D81973" w:rsidRPr="00667059" w:rsidTr="00AA1D5B">
        <w:trPr>
          <w:trHeight w:val="4582"/>
        </w:trPr>
        <w:tc>
          <w:tcPr>
            <w:tcW w:w="3679" w:type="dxa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lastRenderedPageBreak/>
              <w:t xml:space="preserve">2. Недостаточность средств местного бюджета на предоставление финансовой поддержки при улучшении жилищных условий гражданам – участникам муниципальной программы, изъявившим желание получить финансовую поддержку на приобретение (строительство) жилья.     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47" w:type="dxa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snapToGrid w:val="0"/>
                <w:color w:val="000000"/>
                <w:sz w:val="24"/>
                <w:szCs w:val="24"/>
              </w:rPr>
              <w:t>2.</w:t>
            </w:r>
            <w:r w:rsidRPr="00D81973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</w:t>
            </w:r>
            <w:r w:rsidRPr="00D81973">
              <w:rPr>
                <w:color w:val="000000"/>
                <w:sz w:val="24"/>
                <w:szCs w:val="24"/>
              </w:rPr>
              <w:t>Ежегодно предусматривать в местном бюджете: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- средства на предоставление адресных социальных выплат для молодых семей, семей работников бюджетной сферы, семей специалистов организаций, созданных для исполнения полномочий органов местного самоуправления и обеспечения их деятельности, в рамках реализации муниципальной программы; 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- средства на приобретение жилых помещений для предоставления на период работы специалистам бюджетной сферы, специалистам организаций, созданных для исполнения полномочий органов местного самоуправления и обеспечения их деятельности; 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- средства для софинансирования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размере не менее 20 % от размера социальной выплаты на каждую семью-претендента.</w:t>
            </w:r>
          </w:p>
          <w:p w:rsidR="00D81973" w:rsidRPr="00D81973" w:rsidRDefault="00D81973" w:rsidP="00D81973">
            <w:pPr>
              <w:shd w:val="clear" w:color="auto" w:fill="FFFFFF"/>
              <w:tabs>
                <w:tab w:val="left" w:pos="1786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left="-426" w:firstLine="426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Муниципальное образование Сосновоборский городской округ планирует приобрести в 2027 году 10 жилых помещений (квартиры) для детей - сирот, за счёт денежных средств областного и федерального бюджетов, на сумму 58 460 тыс. руб., в том числе средства ФБ – 440 тыс. руб.; в 2028 году – 10 квартир на сумму 58 421 тыс. руб., в том числе средства ФБ – 401 тыс. руб. Финансирование на 2029 год – 63 608 тыс. руб. за счёт денежных средств областного бюджета.</w:t>
      </w:r>
    </w:p>
    <w:p w:rsidR="00D81973" w:rsidRPr="00D81973" w:rsidRDefault="00D81973" w:rsidP="00D81973">
      <w:pPr>
        <w:shd w:val="clear" w:color="auto" w:fill="FFFFFF"/>
        <w:ind w:left="-426" w:firstLine="426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</w:t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  <w:r w:rsidRPr="00D81973">
        <w:rPr>
          <w:color w:val="000000"/>
          <w:sz w:val="24"/>
          <w:szCs w:val="24"/>
        </w:rPr>
        <w:tab/>
      </w:r>
    </w:p>
    <w:tbl>
      <w:tblPr>
        <w:tblW w:w="1005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1265"/>
        <w:gridCol w:w="1382"/>
        <w:gridCol w:w="1381"/>
        <w:gridCol w:w="1303"/>
        <w:gridCol w:w="1338"/>
        <w:gridCol w:w="1373"/>
      </w:tblGrid>
      <w:tr w:rsidR="00D81973" w:rsidRPr="00667059" w:rsidTr="00AA1D5B">
        <w:trPr>
          <w:trHeight w:val="367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Факт 2024 года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Факт</w:t>
            </w: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 2025 год</w:t>
            </w:r>
          </w:p>
        </w:tc>
        <w:tc>
          <w:tcPr>
            <w:tcW w:w="1457" w:type="dxa"/>
            <w:vMerge w:val="restart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Ожидаемое </w:t>
            </w: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0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ПРОГНОЗ</w:t>
            </w:r>
          </w:p>
        </w:tc>
      </w:tr>
      <w:tr w:rsidR="00D81973" w:rsidRPr="00667059" w:rsidTr="00AA1D5B">
        <w:trPr>
          <w:trHeight w:val="241"/>
        </w:trPr>
        <w:tc>
          <w:tcPr>
            <w:tcW w:w="1844" w:type="dxa"/>
            <w:vMerge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vMerge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35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2029 год*</w:t>
            </w:r>
          </w:p>
        </w:tc>
      </w:tr>
      <w:tr w:rsidR="00D81973" w:rsidRPr="00667059" w:rsidTr="00AA1D5B">
        <w:trPr>
          <w:trHeight w:val="106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Квартиры, штук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7" w:type="dxa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</w:t>
            </w:r>
          </w:p>
        </w:tc>
      </w:tr>
      <w:tr w:rsidR="00D81973" w:rsidRPr="00667059" w:rsidTr="00AA1D5B">
        <w:trPr>
          <w:trHeight w:val="761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Финансирование, тыс. руб., всего: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72738,193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56 261,756</w:t>
            </w:r>
          </w:p>
        </w:tc>
        <w:tc>
          <w:tcPr>
            <w:tcW w:w="1457" w:type="dxa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23 506,493</w:t>
            </w:r>
          </w:p>
        </w:tc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58 460,442</w:t>
            </w:r>
          </w:p>
        </w:tc>
        <w:tc>
          <w:tcPr>
            <w:tcW w:w="13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58 421,250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63 607,592</w:t>
            </w:r>
          </w:p>
        </w:tc>
      </w:tr>
      <w:tr w:rsidR="00D81973" w:rsidRPr="00667059" w:rsidTr="00AA1D5B">
        <w:trPr>
          <w:trHeight w:val="687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в том числе:</w:t>
            </w: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432,050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756,279</w:t>
            </w:r>
          </w:p>
        </w:tc>
        <w:tc>
          <w:tcPr>
            <w:tcW w:w="1457" w:type="dxa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298,398</w:t>
            </w:r>
          </w:p>
        </w:tc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440,205</w:t>
            </w:r>
          </w:p>
        </w:tc>
        <w:tc>
          <w:tcPr>
            <w:tcW w:w="13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401,013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</w:t>
            </w:r>
          </w:p>
        </w:tc>
      </w:tr>
      <w:tr w:rsidR="00D81973" w:rsidRPr="00667059" w:rsidTr="00AA1D5B">
        <w:trPr>
          <w:trHeight w:val="761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72306,143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55 505,477</w:t>
            </w:r>
          </w:p>
        </w:tc>
        <w:tc>
          <w:tcPr>
            <w:tcW w:w="1457" w:type="dxa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23208,095</w:t>
            </w:r>
          </w:p>
        </w:tc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58 020,237</w:t>
            </w:r>
          </w:p>
        </w:tc>
        <w:tc>
          <w:tcPr>
            <w:tcW w:w="13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58 020,237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63 607,592</w:t>
            </w: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*  - 2029 год - отражены цифры, которые поданы в проект бюджета на 2027-2029 годы 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Комитет по строительству Ленинградской области.</w:t>
      </w:r>
    </w:p>
    <w:p w:rsidR="00D81973" w:rsidRPr="00D81973" w:rsidRDefault="00D81973" w:rsidP="00D81973">
      <w:pPr>
        <w:shd w:val="clear" w:color="auto" w:fill="FFFFFF"/>
        <w:jc w:val="both"/>
        <w:rPr>
          <w:rFonts w:ascii="Calibri" w:hAnsi="Calibri"/>
          <w:color w:val="000000"/>
          <w:sz w:val="24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44" w:name="_Toc242279733"/>
      <w:r w:rsidRPr="00D81973">
        <w:rPr>
          <w:color w:val="000000"/>
          <w:szCs w:val="24"/>
        </w:rPr>
        <w:t>7. Управление муниципальным имуществом</w:t>
      </w:r>
      <w:bookmarkEnd w:id="44"/>
    </w:p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left="283"/>
        <w:rPr>
          <w:b/>
          <w:bCs/>
          <w:color w:val="000000"/>
          <w:sz w:val="24"/>
          <w:szCs w:val="24"/>
        </w:rPr>
      </w:pPr>
      <w:bookmarkStart w:id="45" w:name="_Toc424304184"/>
      <w:bookmarkEnd w:id="3"/>
      <w:r w:rsidRPr="00D81973">
        <w:rPr>
          <w:b/>
          <w:bCs/>
          <w:color w:val="000000"/>
          <w:sz w:val="24"/>
          <w:szCs w:val="24"/>
        </w:rPr>
        <w:t>Ожидаемые итоги 2026 года.</w:t>
      </w:r>
    </w:p>
    <w:p w:rsidR="00D81973" w:rsidRPr="00D81973" w:rsidRDefault="00D81973" w:rsidP="00D81973">
      <w:pPr>
        <w:shd w:val="clear" w:color="auto" w:fill="FFFFFF"/>
        <w:ind w:left="283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Доходы от использования муниципального имущества составят:</w:t>
      </w:r>
    </w:p>
    <w:p w:rsidR="00D81973" w:rsidRPr="00D81973" w:rsidRDefault="00D81973" w:rsidP="00D81973">
      <w:pPr>
        <w:pStyle w:val="23"/>
        <w:shd w:val="clear" w:color="auto" w:fill="FFFFFF"/>
        <w:spacing w:after="0" w:line="240" w:lineRule="auto"/>
        <w:jc w:val="both"/>
        <w:rPr>
          <w:color w:val="000000"/>
          <w:sz w:val="24"/>
          <w:szCs w:val="24"/>
        </w:rPr>
      </w:pPr>
    </w:p>
    <w:tbl>
      <w:tblPr>
        <w:tblW w:w="5154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21"/>
        <w:gridCol w:w="1723"/>
        <w:gridCol w:w="1783"/>
        <w:gridCol w:w="1898"/>
      </w:tblGrid>
      <w:tr w:rsidR="00D81973" w:rsidRPr="00667059" w:rsidTr="00AA1D5B">
        <w:trPr>
          <w:trHeight w:val="276"/>
        </w:trPr>
        <w:tc>
          <w:tcPr>
            <w:tcW w:w="2278" w:type="pct"/>
            <w:vMerge w:val="restar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722" w:type="pct"/>
            <w:gridSpan w:val="3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2026 год, тыс. руб.</w:t>
            </w:r>
          </w:p>
        </w:tc>
      </w:tr>
      <w:tr w:rsidR="00D81973" w:rsidRPr="00667059" w:rsidTr="00AA1D5B">
        <w:trPr>
          <w:trHeight w:val="276"/>
        </w:trPr>
        <w:tc>
          <w:tcPr>
            <w:tcW w:w="2278" w:type="pct"/>
            <w:vMerge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98" w:type="pct"/>
            <w:tcMar>
              <w:left w:w="57" w:type="dxa"/>
              <w:right w:w="57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Выполнение</w:t>
            </w:r>
          </w:p>
        </w:tc>
        <w:tc>
          <w:tcPr>
            <w:tcW w:w="957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 (сумма платежа)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128,91000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Не планировались.</w:t>
            </w: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 конца 2026 ожидается поступление (корректировка плана в 3-м,4-м уточнении)</w:t>
            </w:r>
          </w:p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23 829,18500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20 997,90000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(сумма платежа)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120,15600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41,97800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городских округов, в части реализации основных средств по указанному имуществу (сумма платежа)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16 115,97852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16 115,97852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городских округов, в части реализации основных средств по указанному имуществу (пени, проценты)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2 571,52559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2 603,19966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Прочие доходы от компенсации затрат бюджетов городских округов (прочие доходы - дебиторская задолженность прошлых лет)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3,32300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Доходы от продажи квартир, находящихся в собственности городских округов (сумма платежа)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1 387,99812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1 882,13000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Ожидаемое выполнение – 100% (корректировка </w:t>
            </w:r>
            <w:r w:rsidRPr="00D81973">
              <w:rPr>
                <w:color w:val="000000"/>
                <w:sz w:val="24"/>
                <w:szCs w:val="24"/>
              </w:rPr>
              <w:lastRenderedPageBreak/>
              <w:t>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lastRenderedPageBreak/>
              <w:t>Доходы от продажи квартир, находящихся в собственности городских округов (пени, проценты)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210,84289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210,84289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Ожидаемое выполнение – 100% 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городских округов (сумма платежа)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1 033,60000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1 563,61372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 (основной платеж)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431,13334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431,13334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Ожидаемое </w:t>
            </w:r>
          </w:p>
          <w:p w:rsidR="00D81973" w:rsidRPr="00D81973" w:rsidRDefault="00D81973" w:rsidP="00D81973">
            <w:pPr>
              <w:shd w:val="clear" w:color="auto" w:fill="FFFFFF"/>
              <w:jc w:val="both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выполнение – 100% 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 (пени и проценты) Доходы от продажи муниципальных земельных участков (проценты)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138,12475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138,12475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Ожидаемое выполнение – 100% 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86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1 381,00000</w:t>
            </w:r>
          </w:p>
        </w:tc>
        <w:tc>
          <w:tcPr>
            <w:tcW w:w="89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1 381,00000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Ожидаемое выполнение – 100% 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собственности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(арендная плата, включая перерасчеты, недоимку и задолженность)»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101 812,03800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99 196,16400</w:t>
            </w:r>
          </w:p>
        </w:tc>
        <w:tc>
          <w:tcPr>
            <w:tcW w:w="957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Доходы, полученные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 (арендная плата, включая перерасчеты, недоимку и задолженность)»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1 033,10632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1 033,10632</w:t>
            </w:r>
          </w:p>
        </w:tc>
        <w:tc>
          <w:tcPr>
            <w:tcW w:w="957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lastRenderedPageBreak/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(основной платеж)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46 348,90720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53 500,00000</w:t>
            </w:r>
          </w:p>
        </w:tc>
        <w:tc>
          <w:tcPr>
            <w:tcW w:w="957" w:type="pct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3 737,20000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3 737,20000</w:t>
            </w:r>
          </w:p>
        </w:tc>
        <w:tc>
          <w:tcPr>
            <w:tcW w:w="957" w:type="pct"/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103,13935</w:t>
            </w:r>
          </w:p>
        </w:tc>
        <w:tc>
          <w:tcPr>
            <w:tcW w:w="957" w:type="pct"/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городских округов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3,69411</w:t>
            </w:r>
          </w:p>
        </w:tc>
        <w:tc>
          <w:tcPr>
            <w:tcW w:w="957" w:type="pct"/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 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Прочие неналоговые доходы бюджетов городских округов (сумма платежа)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1 623,49165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1 553,16633</w:t>
            </w:r>
          </w:p>
        </w:tc>
        <w:tc>
          <w:tcPr>
            <w:tcW w:w="957" w:type="pct"/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Ожидаемое выполнение –100% (корректировка плана в 3-м уточнении)</w:t>
            </w:r>
          </w:p>
        </w:tc>
      </w:tr>
      <w:tr w:rsidR="00D81973" w:rsidRPr="00667059" w:rsidTr="00AA1D5B">
        <w:tc>
          <w:tcPr>
            <w:tcW w:w="2278" w:type="pct"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68" w:type="pct"/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201 774,28738</w:t>
            </w:r>
          </w:p>
        </w:tc>
        <w:tc>
          <w:tcPr>
            <w:tcW w:w="898" w:type="pct"/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204 624,60399</w:t>
            </w:r>
          </w:p>
        </w:tc>
        <w:tc>
          <w:tcPr>
            <w:tcW w:w="957" w:type="pct"/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D81973" w:rsidRPr="00D81973" w:rsidRDefault="00D81973" w:rsidP="00D81973">
      <w:pPr>
        <w:shd w:val="clear" w:color="auto" w:fill="FFFFFF"/>
        <w:ind w:firstLine="567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1. Прогнозируемые поступления в 2026 году доходов от сдачи в аренду нежилых помещений могут измениться: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а) в сторону уменьшения: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в связи с поступлением новых заявлений о реализации преимущественного права выкупа арендованного имущества, предоставленного Федеральным Законом от 22.07.2008 №159-ФЗ;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расторжения договоров аренды по заявлениям арендаторов или по решению КУМИ.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б) в сторону увеличения: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>- вследствие повышения сбора платежей по погашению задолженности прошлых лет;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вовлечения новых объектов недвижимости в коммерческий оборот, в том числе по итогам проведения торгов на право заключения договоров аренды в отношении пустующих помещений, а также заключения договоров аренды на новый срок, арендная плата по которым устанавливается по рыночной стоимости.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Ожидаемое выполнение поступлений доходов в 2026 году ниже планируемого в связи </w:t>
      </w:r>
      <w:r w:rsidRPr="00D81973">
        <w:rPr>
          <w:bCs/>
          <w:color w:val="000000"/>
          <w:sz w:val="24"/>
          <w:szCs w:val="24"/>
        </w:rPr>
        <w:t>уменьшением начисленной арендной платы на сумму затрат арендаторов на проведение неотделимых улучшений и капитального ремонта арендуемого имущества.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 целях сокращения задолженности за пользование муниципальным имуществом регулярно ведется претензионная работа по взысканию задолженности, в том числе с привлечением судебных органов и службы судебных приставов, будут продолжена работа комиссии по ведению работы по погашению задолженности по налоговым и неналоговым платежам. 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2. Согласно отчету о финансовых результатах ООО «БУК» за 2024 год, общество показало деятельность за отчетный период с убытком, в результате чего на 2025 и 2026 годы не планировался доход от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округам). По итогам 2025 года общество получило прибыль, в связи с чем в бюджет будет перечислено 128 905,62 руб.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3. Сумма ожидаемого выполнения плана по сбору доходов от перечисления части прибыли, остающейся после уплаты налогов и иных обязательных платежей муниципальных унитарных предприятий, определена с учетом прибыли, фактически полученной 1 муниципальным предприятием в 2025 году (СМУП «ТСП»). Расчет произведен в соответствии с решением совета депутатов от 25.04.2018 № 74 (5% от полученной прибыли).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4. Прогноз поступлений от продажи муниципального имущества скорректирован с учетом заключенных договоров купли-продажи в порядке реализации преимущественного права выкупа субъектами малого и среднего предпринимательства арендуемого имущества и проведенного аукциона по продаже асфальтобетонной крошки.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Поступления от продажи муниципального имущества могут измениться в сторону увеличения в случае продажи на аукционе вырубленной и складированной древесины, остатков асфальтобетонной крошки, а также в случае включения в Прогнозный план (программу) приватизации муниципального имущества дополнительных объектов.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5. В 2026 году ожидается выполнение плана по доходам, получаемым по договорам аренды муниципальных земельных участков.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Выполнение плана по доходам по договорам аренды земельных участков, государственная собственность на которые не разграничена, ожидается в 97 % в связи с расторжением арендных отношений и наличием задолженности у некоторых арендаторов.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Перевыполнение плана по доходам от продажи земельных участков на 15% в связи с проведением аукционов и заключением соглашений о перераспределении земельных участков.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6. Ожидается выполнение плана по доходам от платы за размещение НТО. Возможно изменение ожидаемых значений в зависимости от востребованности мест размещения НТО субъектами торговли, а также досрочной оплатой Субъектами торговли будущих периодов размещения НТО.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Прогноз доходов на 2027-2029 годы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Прогноз доходов произведен в соответствии с Методикой прогнозирования поступлений в бюджет Сосновоборского городского округа доходов, администрируемых КУМИ Сосновоборского городского округа, утвержденной Распоряжением КУМИ 14.10.2022 № 125-р. </w:t>
      </w:r>
    </w:p>
    <w:p w:rsidR="00D81973" w:rsidRPr="00D81973" w:rsidRDefault="00D81973" w:rsidP="00D81973">
      <w:pPr>
        <w:shd w:val="clear" w:color="auto" w:fill="FFFFFF"/>
        <w:ind w:firstLine="709"/>
        <w:contextualSpacing/>
        <w:jc w:val="both"/>
        <w:rPr>
          <w:bCs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При расчете прогноза поступлений доходов в следующих планируемых периодах в случаях метода прямого расчета применяется прогнозируемый базовый индекс </w:t>
      </w:r>
      <w:r w:rsidRPr="00D81973">
        <w:rPr>
          <w:color w:val="000000"/>
          <w:sz w:val="24"/>
          <w:szCs w:val="24"/>
        </w:rPr>
        <w:lastRenderedPageBreak/>
        <w:t xml:space="preserve">потребительских цен, доведенный письмом Вице-губернатора Ленинградской области по экономическому развитию от 21.05.2026 № 02.1-02-2/2026 </w:t>
      </w:r>
      <w:r w:rsidRPr="00D81973">
        <w:rPr>
          <w:bCs/>
          <w:color w:val="000000"/>
          <w:sz w:val="24"/>
          <w:szCs w:val="24"/>
        </w:rPr>
        <w:t xml:space="preserve">о предварительных основных параметрах прогноза социально-экономического развития Ленинградской области: 2027 к 2026 году- 105,7%; 2028 к 2027 году– 104,7%; 2029 к 2028 году – 104,0%. </w:t>
      </w:r>
    </w:p>
    <w:p w:rsidR="00D81973" w:rsidRPr="00D81973" w:rsidRDefault="00D81973" w:rsidP="00D81973">
      <w:pPr>
        <w:shd w:val="clear" w:color="auto" w:fill="FFFFFF"/>
        <w:tabs>
          <w:tab w:val="left" w:pos="851"/>
          <w:tab w:val="left" w:pos="1134"/>
          <w:tab w:val="left" w:pos="9354"/>
        </w:tabs>
        <w:ind w:left="1287" w:right="-2"/>
        <w:contextualSpacing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numPr>
          <w:ilvl w:val="0"/>
          <w:numId w:val="10"/>
        </w:numPr>
        <w:shd w:val="clear" w:color="auto" w:fill="FFFFFF"/>
        <w:tabs>
          <w:tab w:val="left" w:pos="851"/>
          <w:tab w:val="left" w:pos="1134"/>
          <w:tab w:val="left" w:pos="9354"/>
        </w:tabs>
        <w:ind w:right="-2"/>
        <w:contextualSpacing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Прогноз доходов бюджета от перечисления части прибыли муниципальных унитарных предприятий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left="1287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523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35"/>
        <w:gridCol w:w="1169"/>
        <w:gridCol w:w="1338"/>
        <w:gridCol w:w="1437"/>
      </w:tblGrid>
      <w:tr w:rsidR="00D81973" w:rsidRPr="00667059" w:rsidTr="00AA1D5B"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c>
          <w:tcPr>
            <w:tcW w:w="3043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(сумма платежа)</w:t>
            </w:r>
          </w:p>
        </w:tc>
        <w:tc>
          <w:tcPr>
            <w:tcW w:w="580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44,37100</w:t>
            </w:r>
          </w:p>
        </w:tc>
        <w:tc>
          <w:tcPr>
            <w:tcW w:w="664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46,45600</w:t>
            </w:r>
          </w:p>
        </w:tc>
        <w:tc>
          <w:tcPr>
            <w:tcW w:w="713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48,31400</w:t>
            </w:r>
          </w:p>
        </w:tc>
      </w:tr>
    </w:tbl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Обоснование и расчеты: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Прогноз доходов определяется методом прямого расчета. Алгоритм определяется исходя из фактической или прогнозной величины чистой прибыли муниципальных унитарных предприятий в году, предшествующему году, на который осуществляется расчет прогнозного объема доходов.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Норматив отчисления части чистой прибыли, остающейся в распоряжении муниципальных предприятий после уплаты налогов и иных обязательных платежей, ежегодно устанавливается советом депутатов в соответствии с Положением о порядке перечисления в бюджет муниципального образования Сосновоборский городской округ Ленинградской области части прибыли Сосновоборских муниципальных унитарных предприятий, утвержденным решением совета депутатов Сосновоборского городского округа от 26.12.2005 № 32.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2025 году: прибыль получена 1 муниципальным предприятием (СМУП «ТСП»); 1 предприятие (СМУП «ВОДОКАНАЛ») сработало с убытком; СМУП «Горкадастрпроект» ликвидировано; 1 предприятие (СМУП ЖКО «Комфорт») находится в стадии банкротства.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Точно спрогнозировать размер чистой прибыли, получаемой предприятиями, невозможно. Суммы отчислений от чистой прибыли могут изменяться в зависимости от эффективности осуществления деятельности муниципальными унитарными предприятиями. </w:t>
      </w:r>
    </w:p>
    <w:p w:rsidR="00D81973" w:rsidRPr="00D81973" w:rsidRDefault="00D81973" w:rsidP="00D81973">
      <w:pPr>
        <w:shd w:val="clear" w:color="auto" w:fill="FFFFFF"/>
        <w:tabs>
          <w:tab w:val="left" w:pos="851"/>
          <w:tab w:val="left" w:pos="1134"/>
          <w:tab w:val="left" w:pos="9354"/>
        </w:tabs>
        <w:ind w:right="-2" w:firstLine="567"/>
        <w:contextualSpacing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numPr>
          <w:ilvl w:val="0"/>
          <w:numId w:val="10"/>
        </w:numPr>
        <w:shd w:val="clear" w:color="auto" w:fill="FFFFFF"/>
        <w:contextualSpacing/>
        <w:jc w:val="center"/>
        <w:rPr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Прогноз доходов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 (сумма платежа)</w:t>
      </w:r>
    </w:p>
    <w:p w:rsidR="00D81973" w:rsidRPr="00D81973" w:rsidRDefault="00D81973" w:rsidP="00D81973">
      <w:pPr>
        <w:shd w:val="clear" w:color="auto" w:fill="FFFFFF"/>
        <w:ind w:left="720"/>
        <w:contextualSpacing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567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50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7"/>
        <w:gridCol w:w="1315"/>
        <w:gridCol w:w="1315"/>
        <w:gridCol w:w="1315"/>
      </w:tblGrid>
      <w:tr w:rsidR="00D81973" w:rsidRPr="00667059" w:rsidTr="00AA1D5B">
        <w:tc>
          <w:tcPr>
            <w:tcW w:w="2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c>
          <w:tcPr>
            <w:tcW w:w="2984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 (сумма платежа)</w:t>
            </w:r>
          </w:p>
        </w:tc>
        <w:tc>
          <w:tcPr>
            <w:tcW w:w="672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136,25300</w:t>
            </w:r>
          </w:p>
        </w:tc>
        <w:tc>
          <w:tcPr>
            <w:tcW w:w="672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142,65700</w:t>
            </w:r>
          </w:p>
        </w:tc>
        <w:tc>
          <w:tcPr>
            <w:tcW w:w="672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148,36300</w:t>
            </w:r>
          </w:p>
        </w:tc>
      </w:tr>
    </w:tbl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Обоснование и расчеты: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Прогноз доходов определяется методом прямого расчета. Алгоритм определяется исходя из фактической или прогнозной величины чистой прибыли хозяйственных товариществ и обществ в году, предшествующему году, на который осуществляется расчет прогнозного объема доходов. При расчете прогноза поступлений доходов в следующих планируемых периодах применяется прогнозируемый индекс потребительских цен.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>Согласно отчету о финансовых результатах ООО «БУК» за 2025 год, общество показало деятельность за отчетный период с убытком. Данные могут корректироваться с учетом фактических результатов финансово-хозяйственной деятельности в прогнозируемом периоде.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numPr>
          <w:ilvl w:val="0"/>
          <w:numId w:val="10"/>
        </w:numPr>
        <w:shd w:val="clear" w:color="auto" w:fill="FFFFFF"/>
        <w:tabs>
          <w:tab w:val="left" w:pos="851"/>
          <w:tab w:val="left" w:pos="1134"/>
          <w:tab w:val="left" w:pos="9354"/>
        </w:tabs>
        <w:ind w:right="-2"/>
        <w:contextualSpacing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Прогноз доходов от использования имущества, находящегося в муниципальной собственности</w:t>
      </w:r>
    </w:p>
    <w:p w:rsidR="00D81973" w:rsidRPr="00D81973" w:rsidRDefault="00D81973" w:rsidP="00D81973">
      <w:pPr>
        <w:shd w:val="clear" w:color="auto" w:fill="FFFFFF"/>
        <w:tabs>
          <w:tab w:val="left" w:pos="851"/>
          <w:tab w:val="left" w:pos="1134"/>
          <w:tab w:val="left" w:pos="9354"/>
        </w:tabs>
        <w:ind w:left="720" w:right="-2"/>
        <w:contextualSpacing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tabs>
          <w:tab w:val="left" w:pos="851"/>
          <w:tab w:val="left" w:pos="1134"/>
          <w:tab w:val="left" w:pos="9354"/>
        </w:tabs>
        <w:ind w:right="-2" w:firstLine="567"/>
        <w:contextualSpacing/>
        <w:jc w:val="both"/>
        <w:rPr>
          <w:b/>
          <w:color w:val="000000"/>
          <w:sz w:val="24"/>
          <w:szCs w:val="24"/>
          <w:u w:val="single"/>
        </w:rPr>
      </w:pPr>
      <w:r w:rsidRPr="00D81973">
        <w:rPr>
          <w:b/>
          <w:color w:val="000000"/>
          <w:sz w:val="24"/>
          <w:szCs w:val="24"/>
        </w:rPr>
        <w:t xml:space="preserve">1) </w:t>
      </w:r>
      <w:r w:rsidRPr="00D81973">
        <w:rPr>
          <w:b/>
          <w:color w:val="000000"/>
          <w:sz w:val="24"/>
          <w:szCs w:val="24"/>
          <w:u w:val="single"/>
        </w:rPr>
        <w:t>Доходы от сдачи в аренду имущества, составляющего казну городских округов (за исключением земельных участков)</w:t>
      </w:r>
    </w:p>
    <w:p w:rsidR="00D81973" w:rsidRPr="00D81973" w:rsidRDefault="00D81973" w:rsidP="00D81973">
      <w:pPr>
        <w:shd w:val="clear" w:color="auto" w:fill="FFFFFF"/>
        <w:ind w:firstLine="708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9879" w:type="dxa"/>
        <w:tblInd w:w="-34" w:type="dxa"/>
        <w:tblLook w:val="04A0" w:firstRow="1" w:lastRow="0" w:firstColumn="1" w:lastColumn="0" w:noHBand="0" w:noVBand="1"/>
      </w:tblPr>
      <w:tblGrid>
        <w:gridCol w:w="4823"/>
        <w:gridCol w:w="1657"/>
        <w:gridCol w:w="1742"/>
        <w:gridCol w:w="1657"/>
      </w:tblGrid>
      <w:tr w:rsidR="00D81973" w:rsidRPr="00667059" w:rsidTr="00AA1D5B">
        <w:trPr>
          <w:trHeight w:val="350"/>
        </w:trPr>
        <w:tc>
          <w:tcPr>
            <w:tcW w:w="4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429"/>
        </w:trPr>
        <w:tc>
          <w:tcPr>
            <w:tcW w:w="4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21 797,16600</w:t>
            </w:r>
          </w:p>
        </w:tc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22 799,28800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23 678,20600</w:t>
            </w:r>
          </w:p>
        </w:tc>
      </w:tr>
      <w:tr w:rsidR="00D81973" w:rsidRPr="00667059" w:rsidTr="00AA1D5B">
        <w:trPr>
          <w:trHeight w:val="888"/>
        </w:trPr>
        <w:tc>
          <w:tcPr>
            <w:tcW w:w="4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tbl>
      <w:tblPr>
        <w:tblW w:w="5079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795"/>
        <w:gridCol w:w="1051"/>
        <w:gridCol w:w="965"/>
        <w:gridCol w:w="963"/>
        <w:gridCol w:w="963"/>
        <w:gridCol w:w="965"/>
        <w:gridCol w:w="967"/>
        <w:gridCol w:w="1226"/>
        <w:gridCol w:w="878"/>
        <w:gridCol w:w="1007"/>
      </w:tblGrid>
      <w:tr w:rsidR="00D81973" w:rsidRPr="00667059" w:rsidTr="00AA1D5B">
        <w:trPr>
          <w:trHeight w:val="960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ind w:right="-166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 xml:space="preserve">Год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Начисление текущих поступлений</w:t>
            </w:r>
          </w:p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(руб.)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Уменьшение суммы доходов за счет льготы по арендной плате</w:t>
            </w:r>
          </w:p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(руб.)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Уменьшение суммы доходов вследствие выкупа</w:t>
            </w:r>
          </w:p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(руб.)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Уменьшение суммы доходов вследствие проведения аукционов по продаже имущества</w:t>
            </w:r>
          </w:p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(руб.)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1973" w:rsidRPr="00D81973" w:rsidRDefault="00D81973" w:rsidP="00D81973">
            <w:pPr>
              <w:shd w:val="clear" w:color="auto" w:fill="FFFFFF"/>
              <w:ind w:right="-88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 xml:space="preserve">Уменьшение суммы поступлений </w:t>
            </w:r>
          </w:p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вследствие принятия решений о передаче объектов из муниципальной собственности/пересчета ар. платы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Уменьшение суммы вследствие текущей недоимки</w:t>
            </w:r>
          </w:p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(руб.)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Уменьшение суммы вследствие уменьшения начисленной арендной платы на сумму затрат арендаторов на проведение неотделимых улучшений и капитального ремонта арендуемого имущества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Увеличение суммы поступлений за счет сбора задолженности прошлых лет</w:t>
            </w:r>
          </w:p>
          <w:p w:rsidR="00D81973" w:rsidRPr="00D81973" w:rsidRDefault="00D81973" w:rsidP="00D8197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(руб.)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Итого</w:t>
            </w:r>
          </w:p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(руб.)</w:t>
            </w:r>
          </w:p>
        </w:tc>
      </w:tr>
      <w:tr w:rsidR="00D81973" w:rsidRPr="00667059" w:rsidTr="00AA1D5B">
        <w:trPr>
          <w:trHeight w:val="453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28 663 763,34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4 324 559,56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1 368 160,22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2 963 908,33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1 262 350,63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21 797 165,65</w:t>
            </w:r>
          </w:p>
        </w:tc>
      </w:tr>
      <w:tr w:rsidR="00D81973" w:rsidRPr="00667059" w:rsidTr="00AA1D5B">
        <w:trPr>
          <w:trHeight w:val="403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30 010 960,21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4 501 235,70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1 433 926,07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3 103 212,02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1 274 220,54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22 799 287,72</w:t>
            </w:r>
          </w:p>
        </w:tc>
      </w:tr>
      <w:tr w:rsidR="00D81973" w:rsidRPr="00667059" w:rsidTr="00AA1D5B">
        <w:trPr>
          <w:trHeight w:val="409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lastRenderedPageBreak/>
              <w:t>2029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31 211 398,62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4 681 285,13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1 491 283,11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3 227 340,50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1 292 136,59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23 678 206,46</w:t>
            </w:r>
          </w:p>
        </w:tc>
      </w:tr>
    </w:tbl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Обоснование и расчеты: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Прогноз доходов осуществляется методом прямого расчета.  Алгоритм расчета основывается на данных о сумме годовой арендной платы по действующим на момент планирования договорам аренды. 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При расчете учитывается выбытие из хозяйственного оборота арендованного имущества путем прекращения договорных отношений при приватизации муниципального имущества, передаче его в собственность Ленинградской области или Российской Федерации, и передаче такого имущества на ином праве пользования или в оперативное управление (хозяйственное ведение) муниципальных учреждений (предприятий) а также вовлечение в хозяйственный оборот муниципального имущества с применением индекса потребительских цен и поправочного коэффициента, отражающего реальное поступление арендных платежей в прогнозируемом периоде и своевременность поступления начисленной арендной платы.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Источники данных: заключенные на дату составления прогноза договоры аренды объектов муниципального нежилого фонда, графики платежей по заключенным договорам; данные по сверке арендных платежей; решения государственных и муниципальных органов о передаче имущества на другой уровень; Прогнозный план (программа) приватизации муниципального имущества; данные бухгалтерского учета о доходах от аренды недвижимого имущества; квартальные и годовые отчеты комитета.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Сбор задолженности прошлых лет рассчитан, исходя из среднего процента сбора такой задолженности за последние три года, который составляет 11,2%. Сбор текущих платежей рассчитан, исходя из среднего процента поступлений в предыдущие периоды, который составляет 94,5%.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Сумма льготы по арендной плате может измениться в сторону уменьшения/увеличения в зависимости от исполнения арендаторами обязанности по внесению арендных платежей.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Льготы по арендной плате за объекты муниципального нежилого фонда и муниципальное движимое имущество установлены решением совета депутатов от 25.04.2018 № 73 без установления периода применения льгот (за исключением льготы, предусмотренной п. 1.5. решения).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Льгота, предусмотренная п. 1.5. решения, устанавливается на определенный период с учетом поступивших заявлений о предоставлении льготы и решения совета депутатов по итогам рассмотрения таких заявлений. Предусмотреть вероятность поступления заявлений в 2028-2029 годах и принятие по ним положительных решений совета депутатов невозможно.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24.06.2026 советом депутатов Сосновоборского городского округа принято решение № 92 о включении в таблицы пункта 1.2. решения дополнительной льготной категории арендаторов - </w:t>
      </w:r>
      <w:r w:rsidRPr="00D81973">
        <w:rPr>
          <w:bCs/>
          <w:color w:val="000000"/>
          <w:sz w:val="24"/>
          <w:szCs w:val="24"/>
        </w:rPr>
        <w:t xml:space="preserve">субъектов малого и среднего предпринимательства, осуществляющих деятельность в сфере социального предпринимательства, соответствующих </w:t>
      </w:r>
      <w:r w:rsidRPr="00D81973">
        <w:rPr>
          <w:color w:val="000000"/>
          <w:sz w:val="24"/>
          <w:szCs w:val="24"/>
        </w:rPr>
        <w:t>одному или нескольким из условий, установленных Федеральным законом от 24.07.2007 № 209-ФЗ «О развитии малого и среднего предпринимательства в Российской Федерации» (льгота 20%).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Подготовлен еще один проект решения совета депутатов о внесении изменений в указанное решение, в соответствии с которым предлагается добавить </w:t>
      </w:r>
      <w:r w:rsidRPr="00D81973">
        <w:rPr>
          <w:bCs/>
          <w:color w:val="000000"/>
          <w:sz w:val="24"/>
          <w:szCs w:val="24"/>
        </w:rPr>
        <w:t xml:space="preserve">субъектов малого и среднего предпринимательства – </w:t>
      </w:r>
      <w:r w:rsidRPr="00D81973">
        <w:rPr>
          <w:color w:val="000000"/>
          <w:sz w:val="24"/>
          <w:szCs w:val="24"/>
        </w:rPr>
        <w:t>печатных средств массовой информации</w:t>
      </w:r>
      <w:r w:rsidRPr="00D81973">
        <w:rPr>
          <w:bCs/>
          <w:color w:val="000000"/>
          <w:sz w:val="24"/>
          <w:szCs w:val="24"/>
        </w:rPr>
        <w:t xml:space="preserve"> и средств массовой информации, осуществляющих деятельность </w:t>
      </w:r>
      <w:r w:rsidRPr="00D81973">
        <w:rPr>
          <w:color w:val="000000"/>
          <w:sz w:val="24"/>
          <w:szCs w:val="24"/>
        </w:rPr>
        <w:t>в сфере телевизионного вещания и радиовещания, зарегистрированных в установленном законом порядке в качестве льготной категории (льгота – 60%).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bCs/>
          <w:color w:val="000000"/>
          <w:sz w:val="24"/>
          <w:szCs w:val="24"/>
        </w:rPr>
        <w:t>При расчете учтено уменьшение суммы вследствие уменьшения начисленной арендной платы на сумму затрат арендаторов на проведение неотделимых улучшений и капитального ремонта арендуемого имущества, произведенного в 2026 году.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Повышение сбора платежей возможно по причине погашения задолженности прошлых лет, проведения торгов на право заключения договоров аренды в отношении пустующих </w:t>
      </w:r>
      <w:r w:rsidRPr="00D81973">
        <w:rPr>
          <w:color w:val="000000"/>
          <w:sz w:val="24"/>
          <w:szCs w:val="24"/>
        </w:rPr>
        <w:lastRenderedPageBreak/>
        <w:t xml:space="preserve">помещений, а также заключения договоров аренды на новый срок, арендная плата по которым устанавливается по рыночной стоимости. 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Вследствие продажи имущества на аукционе, а также в связи с продлением действия Федерального закона от 22.07.2008 № 159-ФЗ о реализации преимущественного права выкупа арендуемого имущества субъектами малого и среднего предпринимательства, сумма доходов может уменьшиться.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Проект нормативного правового акта об изменении базовой ставки арендной платы за помещения на 2027-2028 годы и установлении базовой ставки арендной платы за помещения на 2029 год подготовлен и будет направлен в совет депутатов. </w:t>
      </w:r>
    </w:p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color w:val="000000"/>
          <w:sz w:val="24"/>
          <w:szCs w:val="24"/>
          <w:u w:val="single"/>
        </w:rPr>
      </w:pPr>
      <w:r w:rsidRPr="00D81973">
        <w:rPr>
          <w:b/>
          <w:color w:val="000000"/>
          <w:sz w:val="24"/>
          <w:szCs w:val="24"/>
        </w:rPr>
        <w:t xml:space="preserve">2) </w:t>
      </w:r>
      <w:r w:rsidRPr="00D81973">
        <w:rPr>
          <w:b/>
          <w:color w:val="000000"/>
          <w:sz w:val="24"/>
          <w:szCs w:val="24"/>
          <w:u w:val="single"/>
        </w:rPr>
        <w:t>Доходы от реализации иного имущества, находящегося в собственности городских округов, в части реализации основных средств по указанному имуществу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color w:val="000000"/>
          <w:sz w:val="24"/>
          <w:szCs w:val="24"/>
          <w:u w:val="single"/>
        </w:rPr>
      </w:pPr>
    </w:p>
    <w:p w:rsidR="00D81973" w:rsidRPr="00D81973" w:rsidRDefault="00D81973" w:rsidP="00D81973">
      <w:pPr>
        <w:shd w:val="clear" w:color="auto" w:fill="FFFFFF"/>
        <w:ind w:left="7080" w:firstLine="708"/>
        <w:jc w:val="center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9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1701"/>
        <w:gridCol w:w="1701"/>
        <w:gridCol w:w="1526"/>
      </w:tblGrid>
      <w:tr w:rsidR="00D81973" w:rsidRPr="00667059" w:rsidTr="00AA1D5B">
        <w:trPr>
          <w:trHeight w:val="330"/>
          <w:jc w:val="center"/>
        </w:trPr>
        <w:tc>
          <w:tcPr>
            <w:tcW w:w="4082" w:type="dxa"/>
            <w:shd w:val="clear" w:color="auto" w:fill="auto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701" w:type="dxa"/>
            <w:shd w:val="clear" w:color="auto" w:fill="auto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shd w:val="clear" w:color="auto" w:fill="auto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26" w:type="dxa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1656"/>
          <w:jc w:val="center"/>
        </w:trPr>
        <w:tc>
          <w:tcPr>
            <w:tcW w:w="4082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городских округов, в части реализации основных средств по указанному имуществу (сумма платежа)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13 444, 43173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10 629, 68925</w:t>
            </w:r>
          </w:p>
        </w:tc>
        <w:tc>
          <w:tcPr>
            <w:tcW w:w="1526" w:type="dxa"/>
            <w:vAlign w:val="center"/>
          </w:tcPr>
          <w:p w:rsidR="00D81973" w:rsidRPr="00D81973" w:rsidRDefault="00D81973" w:rsidP="00D81973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8 229, 33467</w:t>
            </w:r>
          </w:p>
        </w:tc>
      </w:tr>
      <w:tr w:rsidR="00D81973" w:rsidRPr="00667059" w:rsidTr="00AA1D5B">
        <w:trPr>
          <w:trHeight w:val="1600"/>
          <w:jc w:val="center"/>
        </w:trPr>
        <w:tc>
          <w:tcPr>
            <w:tcW w:w="4082" w:type="dxa"/>
            <w:shd w:val="clear" w:color="auto" w:fill="auto"/>
            <w:vAlign w:val="center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городских округов, в части реализации основных средств по указанному имуществу (пени, проценты)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2 464, 94764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1 363, 82146</w:t>
            </w:r>
          </w:p>
        </w:tc>
        <w:tc>
          <w:tcPr>
            <w:tcW w:w="1526" w:type="dxa"/>
            <w:vAlign w:val="center"/>
          </w:tcPr>
          <w:p w:rsidR="00D81973" w:rsidRPr="00D81973" w:rsidRDefault="00D81973" w:rsidP="00D81973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953, 29696</w:t>
            </w:r>
          </w:p>
        </w:tc>
      </w:tr>
      <w:tr w:rsidR="00D81973" w:rsidRPr="00667059" w:rsidTr="00AA1D5B">
        <w:trPr>
          <w:trHeight w:val="495"/>
          <w:jc w:val="center"/>
        </w:trPr>
        <w:tc>
          <w:tcPr>
            <w:tcW w:w="4082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15 909, 37937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11 993, 51071</w:t>
            </w:r>
          </w:p>
        </w:tc>
        <w:tc>
          <w:tcPr>
            <w:tcW w:w="1526" w:type="dxa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9 182, 63163</w:t>
            </w:r>
          </w:p>
        </w:tc>
      </w:tr>
    </w:tbl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Обоснование и расчеты: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Прогноз доходов осуществляется методом прямого расчета.  Алгоритм определяется исходя из планируемой цены продажи объектов, включенных в Прогнозный план (программу) приватизации муниципального имущества, и заключенных  на дату составления прогноза договоров купли-продажи, в порядке, установленном Федеральным </w:t>
      </w:r>
      <w:hyperlink r:id="rId18" w:history="1">
        <w:r w:rsidRPr="00D81973">
          <w:rPr>
            <w:color w:val="000000"/>
            <w:sz w:val="24"/>
            <w:szCs w:val="24"/>
          </w:rPr>
          <w:t>законом</w:t>
        </w:r>
      </w:hyperlink>
      <w:r w:rsidRPr="00D81973">
        <w:rPr>
          <w:color w:val="000000"/>
          <w:sz w:val="24"/>
          <w:szCs w:val="24"/>
        </w:rPr>
        <w:t xml:space="preserve"> от 22.07.2008 № 159-ФЗ.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 xml:space="preserve">Прогноз доходов от продажи имущества на публичных торгах в </w:t>
      </w:r>
      <w:r w:rsidRPr="00D81973">
        <w:rPr>
          <w:b/>
          <w:bCs/>
          <w:color w:val="000000"/>
          <w:sz w:val="24"/>
          <w:szCs w:val="24"/>
        </w:rPr>
        <w:t>2027</w:t>
      </w:r>
      <w:r w:rsidRPr="00D81973">
        <w:rPr>
          <w:b/>
          <w:color w:val="000000"/>
          <w:sz w:val="24"/>
          <w:szCs w:val="24"/>
        </w:rPr>
        <w:t xml:space="preserve">-2029 гг. </w:t>
      </w:r>
      <w:r w:rsidRPr="00D81973">
        <w:rPr>
          <w:color w:val="000000"/>
          <w:sz w:val="24"/>
          <w:szCs w:val="24"/>
        </w:rPr>
        <w:t xml:space="preserve">не представляется возможным ввиду отсутствия в Прогнозном плане (программе) приватизации объектов, подлежащих отчуждению на аукционе в указанные периоды.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В соответствии с п. 3.5. Положения о порядке планирования приватизации муниципального имущества муниципального образования Сосновоборский городской округ Ленинградской области, утвержденным решением совета депутатов Сосновоборского городского округа от 24.11.2020 № 152, предложения о приватизации муниципального имущества вправе направлять: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глава муниципального образования;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органы местного самоуправления;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- муниципальные унитарные предприятия;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акционерные общества, акции, доли в уставных капиталах которых находятся в муниципальной собственности;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иные юридические и физические лица (далее - заинтересованные лица).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На дату составления прогноза таких обращений ни в администрацию, ни в совет депутатов Сосновоборского городского округа не поступало.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lastRenderedPageBreak/>
        <w:t xml:space="preserve">Сумма доходов может измениться в сторону увеличения/уменьшения: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вследствие поступления заявлений арендаторов о реализации преимущественного права выкупа арендованного имущества в соответствии с Федеральным законом от 22.07.2008 № 159-ФЗ;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вследствие включения новых объектов для продажи на аукционе, в том числе по помещениям, в отношении которых неоднократно проводились процедуры по заключению договора аренды, но торги были признаны несостоявшимися;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вследствие исключения объектов из Прогнозного плана (программы) приватизации в связи с неоднократным признанием торгов несостоявшимися в виду отсутствия заявок на участие в аукционе.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При этом, в случае принятия арендаторами решения о досрочном погашении цены продажи объекта в 2026 году, сумма доходов от реализации имущества по преимущественному праву выкупа в прогнозируемом периоде 2027-2029 гг. может уменьшиться.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567"/>
        <w:jc w:val="both"/>
        <w:rPr>
          <w:b/>
          <w:color w:val="000000"/>
          <w:sz w:val="24"/>
          <w:szCs w:val="24"/>
          <w:u w:val="single"/>
        </w:rPr>
      </w:pPr>
      <w:r w:rsidRPr="00D81973">
        <w:rPr>
          <w:b/>
          <w:color w:val="000000"/>
          <w:sz w:val="24"/>
          <w:szCs w:val="24"/>
        </w:rPr>
        <w:t xml:space="preserve">3) </w:t>
      </w:r>
      <w:r w:rsidRPr="00D81973">
        <w:rPr>
          <w:b/>
          <w:color w:val="000000"/>
          <w:sz w:val="24"/>
          <w:szCs w:val="24"/>
          <w:u w:val="single"/>
        </w:rPr>
        <w:t>Доходы от продажи квартир, находящихся в собственности городских округов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567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9508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0"/>
        <w:gridCol w:w="1559"/>
        <w:gridCol w:w="1559"/>
        <w:gridCol w:w="1560"/>
      </w:tblGrid>
      <w:tr w:rsidR="00D81973" w:rsidRPr="00667059" w:rsidTr="00AA1D5B">
        <w:trPr>
          <w:trHeight w:val="330"/>
        </w:trPr>
        <w:tc>
          <w:tcPr>
            <w:tcW w:w="4830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645"/>
        </w:trPr>
        <w:tc>
          <w:tcPr>
            <w:tcW w:w="4830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продажи квартир, находящихся в собственности городских округов (сумма платежа)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1 552, 24812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1 552, 24812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1 552, 24812</w:t>
            </w:r>
          </w:p>
        </w:tc>
      </w:tr>
      <w:tr w:rsidR="00D81973" w:rsidRPr="00667059" w:rsidTr="00AA1D5B">
        <w:trPr>
          <w:trHeight w:val="645"/>
        </w:trPr>
        <w:tc>
          <w:tcPr>
            <w:tcW w:w="4830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продажи квартир, находящихся в собственности городских округов (пени, проценты)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183, 61518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154, 97950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134, 65730</w:t>
            </w:r>
          </w:p>
        </w:tc>
      </w:tr>
      <w:tr w:rsidR="00D81973" w:rsidRPr="00667059" w:rsidTr="00AA1D5B">
        <w:trPr>
          <w:trHeight w:val="330"/>
        </w:trPr>
        <w:tc>
          <w:tcPr>
            <w:tcW w:w="4830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1 735, 86330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1 707, 22762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1 686, 90542</w:t>
            </w:r>
          </w:p>
        </w:tc>
      </w:tr>
    </w:tbl>
    <w:p w:rsidR="00D81973" w:rsidRPr="00D81973" w:rsidRDefault="00D81973" w:rsidP="00D81973">
      <w:pPr>
        <w:shd w:val="clear" w:color="auto" w:fill="FFFFFF"/>
        <w:ind w:firstLine="567"/>
        <w:jc w:val="both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Обоснование и расчеты: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Прогноз доходов осуществляется методом прямого расчета.  Алгоритм определяется посредством суммирования основных платежей, установленных в соответствии с графиками платежей по договорам купли-продажи, действующим на момент составления прогноза.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Расчет произведен по заключенным договорам купли-продажи жилых помещений с рассрочкой. 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Сумма доходов может быть увеличена в случае обращений новых заявителей о продаже комнат, квартир, долей в праве общей долевой собственности на жилые помещения и т.п.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567"/>
        <w:jc w:val="both"/>
        <w:rPr>
          <w:b/>
          <w:color w:val="000000"/>
          <w:sz w:val="24"/>
          <w:szCs w:val="24"/>
          <w:u w:val="single"/>
        </w:rPr>
      </w:pPr>
      <w:r w:rsidRPr="00D81973">
        <w:rPr>
          <w:b/>
          <w:color w:val="000000"/>
          <w:sz w:val="24"/>
          <w:szCs w:val="24"/>
        </w:rPr>
        <w:t xml:space="preserve">4) </w:t>
      </w:r>
      <w:r w:rsidRPr="00D81973">
        <w:rPr>
          <w:b/>
          <w:color w:val="000000"/>
          <w:sz w:val="24"/>
          <w:szCs w:val="24"/>
          <w:u w:val="single"/>
        </w:rPr>
        <w:t>Доходы, поступающие в порядке возмещения расходов, понесенных в связи с эксплуатацией имущества городских округов (сумма платежа)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b/>
          <w:color w:val="000000"/>
          <w:sz w:val="24"/>
          <w:szCs w:val="24"/>
          <w:u w:val="single"/>
        </w:rPr>
      </w:pPr>
    </w:p>
    <w:p w:rsidR="00D81973" w:rsidRPr="00D81973" w:rsidRDefault="00D81973" w:rsidP="00D81973">
      <w:pPr>
        <w:shd w:val="clear" w:color="auto" w:fill="FFFFFF"/>
        <w:ind w:firstLine="567"/>
        <w:jc w:val="both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567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1416"/>
        <w:gridCol w:w="1416"/>
        <w:gridCol w:w="1416"/>
      </w:tblGrid>
      <w:tr w:rsidR="00D81973" w:rsidRPr="00667059" w:rsidTr="00AA1D5B">
        <w:trPr>
          <w:trHeight w:val="491"/>
          <w:jc w:val="center"/>
        </w:trPr>
        <w:tc>
          <w:tcPr>
            <w:tcW w:w="5110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99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230" w:type="dxa"/>
            <w:vAlign w:val="bottom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998"/>
          <w:jc w:val="center"/>
        </w:trPr>
        <w:tc>
          <w:tcPr>
            <w:tcW w:w="5110" w:type="dxa"/>
            <w:shd w:val="clear" w:color="auto" w:fill="auto"/>
            <w:vAlign w:val="bottom"/>
            <w:hideMark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городских округов (сумма платежа)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1 619,83826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1 682,43466</w:t>
            </w:r>
          </w:p>
        </w:tc>
        <w:tc>
          <w:tcPr>
            <w:tcW w:w="1230" w:type="dxa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1 738,21205</w:t>
            </w:r>
          </w:p>
        </w:tc>
      </w:tr>
    </w:tbl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Обоснование и расчеты:</w:t>
      </w:r>
    </w:p>
    <w:p w:rsidR="00D81973" w:rsidRPr="00D81973" w:rsidRDefault="00D81973" w:rsidP="00D81973">
      <w:pPr>
        <w:shd w:val="clear" w:color="auto" w:fill="FFFFFF"/>
        <w:tabs>
          <w:tab w:val="left" w:pos="284"/>
        </w:tabs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Прогноз доходов осуществляется методом прямого расчета.  Алгоритм определяется исходя из суммы затрат на содержание и эксплуатацию объектов в соответствии с заключенными договорами, понесенных КУМИ в предыдущем году на содержание и </w:t>
      </w:r>
      <w:r w:rsidRPr="00D81973">
        <w:rPr>
          <w:color w:val="000000"/>
          <w:sz w:val="24"/>
          <w:szCs w:val="24"/>
        </w:rPr>
        <w:lastRenderedPageBreak/>
        <w:t>эксплуатацию объектов, состоящих в казне муниципального образования, помещения в которых переданы в пользование третьим лицам, с применением прогнозируемого значения индекса потребительских цен.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  <w:u w:val="single"/>
        </w:rPr>
        <w:t>5) Доходы от продажи земельных участков, находящихся в муниципальной собственности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540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1"/>
        <w:gridCol w:w="1569"/>
        <w:gridCol w:w="1426"/>
        <w:gridCol w:w="1424"/>
      </w:tblGrid>
      <w:tr w:rsidR="00D81973" w:rsidRPr="00667059" w:rsidTr="00AA1D5B">
        <w:tc>
          <w:tcPr>
            <w:tcW w:w="2679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824" w:type="pct"/>
            <w:tcMar>
              <w:left w:w="57" w:type="dxa"/>
              <w:right w:w="57" w:type="dxa"/>
            </w:tcMar>
            <w:vAlign w:val="bottom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749" w:type="pct"/>
            <w:tcMar>
              <w:left w:w="57" w:type="dxa"/>
              <w:right w:w="57" w:type="dxa"/>
            </w:tcMar>
            <w:vAlign w:val="bottom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748" w:type="pct"/>
            <w:vAlign w:val="bottom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1562"/>
        </w:trPr>
        <w:tc>
          <w:tcPr>
            <w:tcW w:w="267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 (основной платеж)</w:t>
            </w:r>
          </w:p>
        </w:tc>
        <w:tc>
          <w:tcPr>
            <w:tcW w:w="824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406,80000</w:t>
            </w:r>
          </w:p>
        </w:tc>
        <w:tc>
          <w:tcPr>
            <w:tcW w:w="74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406,80000</w:t>
            </w:r>
          </w:p>
        </w:tc>
        <w:tc>
          <w:tcPr>
            <w:tcW w:w="74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406,80000</w:t>
            </w:r>
          </w:p>
        </w:tc>
      </w:tr>
      <w:tr w:rsidR="00D81973" w:rsidRPr="00667059" w:rsidTr="00AA1D5B">
        <w:trPr>
          <w:trHeight w:val="2264"/>
        </w:trPr>
        <w:tc>
          <w:tcPr>
            <w:tcW w:w="267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 (пени и проценты) Доходы от продажи муниципальных земельных участков (проценты)</w:t>
            </w:r>
          </w:p>
        </w:tc>
        <w:tc>
          <w:tcPr>
            <w:tcW w:w="824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136,69913</w:t>
            </w:r>
          </w:p>
        </w:tc>
        <w:tc>
          <w:tcPr>
            <w:tcW w:w="74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109,57913</w:t>
            </w:r>
          </w:p>
        </w:tc>
        <w:tc>
          <w:tcPr>
            <w:tcW w:w="74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82,45913</w:t>
            </w:r>
          </w:p>
        </w:tc>
      </w:tr>
      <w:tr w:rsidR="00D81973" w:rsidRPr="00667059" w:rsidTr="00AA1D5B">
        <w:trPr>
          <w:trHeight w:val="407"/>
        </w:trPr>
        <w:tc>
          <w:tcPr>
            <w:tcW w:w="267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right"/>
              <w:rPr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Всего</w:t>
            </w:r>
            <w:r w:rsidRPr="00D81973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824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543,49913</w:t>
            </w:r>
          </w:p>
        </w:tc>
        <w:tc>
          <w:tcPr>
            <w:tcW w:w="74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516,37913</w:t>
            </w:r>
          </w:p>
        </w:tc>
        <w:tc>
          <w:tcPr>
            <w:tcW w:w="74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489,25913</w:t>
            </w:r>
          </w:p>
        </w:tc>
      </w:tr>
    </w:tbl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Обоснование и расчеты:</w:t>
      </w:r>
    </w:p>
    <w:p w:rsidR="00D81973" w:rsidRPr="00D81973" w:rsidRDefault="00D81973" w:rsidP="00D8197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Прогноз доходов осуществляется методом прямого расчета. Алгоритм определяется исходя из суммы основного платежа, установленных в соответствии с графиками платежей по договорам купли-продажи, заключенным в порядке, установленном Федеральным </w:t>
      </w:r>
      <w:hyperlink r:id="rId19" w:history="1">
        <w:r w:rsidRPr="00D81973">
          <w:rPr>
            <w:color w:val="000000"/>
            <w:sz w:val="24"/>
            <w:szCs w:val="24"/>
          </w:rPr>
          <w:t>законом</w:t>
        </w:r>
      </w:hyperlink>
      <w:r w:rsidRPr="00D81973">
        <w:rPr>
          <w:color w:val="000000"/>
          <w:sz w:val="24"/>
          <w:szCs w:val="24"/>
        </w:rPr>
        <w:t xml:space="preserve"> от 22.07.2008 № 159-ФЗ.</w:t>
      </w:r>
    </w:p>
    <w:p w:rsidR="00D81973" w:rsidRPr="00D81973" w:rsidRDefault="00D81973" w:rsidP="00D81973">
      <w:pPr>
        <w:keepNext/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keepNext/>
        <w:shd w:val="clear" w:color="auto" w:fill="FFFFFF"/>
        <w:ind w:firstLine="567"/>
        <w:jc w:val="both"/>
        <w:rPr>
          <w:b/>
          <w:color w:val="000000"/>
          <w:sz w:val="24"/>
          <w:szCs w:val="24"/>
          <w:u w:val="single"/>
        </w:rPr>
      </w:pPr>
      <w:r w:rsidRPr="00D81973">
        <w:rPr>
          <w:b/>
          <w:color w:val="000000"/>
          <w:sz w:val="24"/>
          <w:szCs w:val="24"/>
          <w:u w:val="single"/>
        </w:rPr>
        <w:t>6) Прогноз взыскания пени и штрафов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540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48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1"/>
        <w:gridCol w:w="1580"/>
        <w:gridCol w:w="1579"/>
        <w:gridCol w:w="1579"/>
      </w:tblGrid>
      <w:tr w:rsidR="00D81973" w:rsidRPr="00667059" w:rsidTr="00AA1D5B">
        <w:tc>
          <w:tcPr>
            <w:tcW w:w="2449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850" w:type="pct"/>
            <w:vAlign w:val="bottom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50" w:type="pct"/>
            <w:vAlign w:val="bottom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850" w:type="pct"/>
            <w:tcMar>
              <w:left w:w="57" w:type="dxa"/>
              <w:right w:w="57" w:type="dxa"/>
            </w:tcMar>
            <w:vAlign w:val="bottom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713"/>
        </w:trPr>
        <w:tc>
          <w:tcPr>
            <w:tcW w:w="244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850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1 573,954</w:t>
            </w:r>
          </w:p>
        </w:tc>
        <w:tc>
          <w:tcPr>
            <w:tcW w:w="850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1 486,705</w:t>
            </w:r>
          </w:p>
        </w:tc>
        <w:tc>
          <w:tcPr>
            <w:tcW w:w="850" w:type="pct"/>
            <w:tcMar>
              <w:left w:w="57" w:type="dxa"/>
              <w:right w:w="57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1 481,245</w:t>
            </w:r>
          </w:p>
        </w:tc>
      </w:tr>
    </w:tbl>
    <w:p w:rsidR="00D81973" w:rsidRPr="00D81973" w:rsidRDefault="00D81973" w:rsidP="00D81973">
      <w:pPr>
        <w:shd w:val="clear" w:color="auto" w:fill="FFFFFF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Прогноз доходов осуществляется методом усреднения. Алгоритм определяется исходя из усреднения годовых объемов поступлений за предшествующие три года. </w:t>
      </w:r>
    </w:p>
    <w:p w:rsidR="00D81973" w:rsidRPr="00D81973" w:rsidRDefault="00D81973" w:rsidP="00D81973">
      <w:pPr>
        <w:shd w:val="clear" w:color="auto" w:fill="FFFFFF"/>
        <w:ind w:firstLine="709"/>
        <w:jc w:val="center"/>
        <w:rPr>
          <w:color w:val="000000"/>
          <w:sz w:val="24"/>
          <w:szCs w:val="24"/>
        </w:rPr>
      </w:pPr>
    </w:p>
    <w:p w:rsidR="00D81973" w:rsidRPr="00D81973" w:rsidRDefault="00A77C8C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  <w:lang w:bidi="ru-RU"/>
              </w:rPr>
            </m:ctrlPr>
          </m:fPr>
          <m:num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1835702,43+1503084,60+1383076,11</m:t>
            </m:r>
          </m:num>
          <m:den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3</m:t>
            </m:r>
          </m:den>
        </m:f>
        <m:r>
          <w:rPr>
            <w:rFonts w:ascii="Cambria Math" w:hAnsi="Cambria Math"/>
            <w:color w:val="000000"/>
            <w:sz w:val="24"/>
            <w:szCs w:val="24"/>
            <w:lang w:bidi="ru-RU"/>
          </w:rPr>
          <m:t xml:space="preserve"> </m:t>
        </m:r>
      </m:oMath>
      <w:r w:rsidR="00D81973" w:rsidRPr="00D81973">
        <w:rPr>
          <w:color w:val="000000"/>
          <w:sz w:val="24"/>
          <w:szCs w:val="24"/>
          <w:lang w:bidi="ru-RU"/>
        </w:rPr>
        <w:t>= 1 573 954,38 – 2027 год;</w:t>
      </w:r>
    </w:p>
    <w:p w:rsidR="00D81973" w:rsidRPr="00D81973" w:rsidRDefault="00D81973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</w:p>
    <w:p w:rsidR="00D81973" w:rsidRPr="00D81973" w:rsidRDefault="00A77C8C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  <w:lang w:bidi="ru-RU"/>
              </w:rPr>
            </m:ctrlPr>
          </m:fPr>
          <m:num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1503084,60+1383076,11+1573954,38</m:t>
            </m:r>
          </m:num>
          <m:den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3</m:t>
            </m:r>
          </m:den>
        </m:f>
        <m:r>
          <w:rPr>
            <w:rFonts w:ascii="Cambria Math" w:hAnsi="Cambria Math"/>
            <w:color w:val="000000"/>
            <w:sz w:val="24"/>
            <w:szCs w:val="24"/>
            <w:lang w:bidi="ru-RU"/>
          </w:rPr>
          <m:t xml:space="preserve"> </m:t>
        </m:r>
      </m:oMath>
      <w:r w:rsidR="00D81973" w:rsidRPr="00D81973">
        <w:rPr>
          <w:color w:val="000000"/>
          <w:sz w:val="24"/>
          <w:szCs w:val="24"/>
          <w:lang w:bidi="ru-RU"/>
        </w:rPr>
        <w:t>= 1 486 705,03 – 2028 год;</w:t>
      </w:r>
    </w:p>
    <w:p w:rsidR="00D81973" w:rsidRPr="00D81973" w:rsidRDefault="00D81973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</w:p>
    <w:p w:rsidR="00D81973" w:rsidRPr="00D81973" w:rsidRDefault="00A77C8C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  <w:lang w:bidi="ru-RU"/>
              </w:rPr>
            </m:ctrlPr>
          </m:fPr>
          <m:num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1383076,11+1573954,38+1486705,03</m:t>
            </m:r>
          </m:num>
          <m:den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3</m:t>
            </m:r>
          </m:den>
        </m:f>
      </m:oMath>
      <w:r w:rsidR="00D81973" w:rsidRPr="00D81973">
        <w:rPr>
          <w:color w:val="000000"/>
          <w:sz w:val="24"/>
          <w:szCs w:val="24"/>
          <w:lang w:bidi="ru-RU"/>
        </w:rPr>
        <w:t>= 1 481 245,17 – 2029 год.</w:t>
      </w:r>
    </w:p>
    <w:p w:rsidR="00D81973" w:rsidRPr="00D81973" w:rsidRDefault="00D81973" w:rsidP="00D81973">
      <w:pPr>
        <w:widowControl w:val="0"/>
        <w:shd w:val="clear" w:color="auto" w:fill="FFFFFF"/>
        <w:rPr>
          <w:color w:val="000000"/>
          <w:sz w:val="24"/>
          <w:szCs w:val="24"/>
          <w:lang w:bidi="ru-RU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Прогноз доходов произведен в соответствии с Методикой прогнозирования поступлений в бюджет Сосновоборского городского округа доходов, администрируемых КУМИ Сосновоборского городского округа, утвержденной Распоряжением КУМИ от 14.10.2022 № 125-р.</w:t>
      </w:r>
    </w:p>
    <w:p w:rsidR="00D81973" w:rsidRPr="00D81973" w:rsidRDefault="00D81973" w:rsidP="00D81973">
      <w:pPr>
        <w:keepNext/>
        <w:shd w:val="clear" w:color="auto" w:fill="FFFFFF"/>
        <w:ind w:firstLine="567"/>
        <w:jc w:val="both"/>
        <w:rPr>
          <w:b/>
          <w:color w:val="000000"/>
          <w:sz w:val="24"/>
          <w:szCs w:val="24"/>
          <w:u w:val="single"/>
        </w:rPr>
      </w:pPr>
    </w:p>
    <w:p w:rsidR="00D81973" w:rsidRPr="00D81973" w:rsidRDefault="00D81973" w:rsidP="00D81973">
      <w:pPr>
        <w:keepNext/>
        <w:shd w:val="clear" w:color="auto" w:fill="FFFFFF"/>
        <w:ind w:firstLine="567"/>
        <w:jc w:val="both"/>
        <w:rPr>
          <w:b/>
          <w:color w:val="000000"/>
          <w:sz w:val="24"/>
          <w:szCs w:val="24"/>
          <w:u w:val="single"/>
        </w:rPr>
      </w:pPr>
      <w:r w:rsidRPr="00D81973">
        <w:rPr>
          <w:b/>
          <w:color w:val="000000"/>
          <w:sz w:val="24"/>
          <w:szCs w:val="24"/>
          <w:u w:val="single"/>
        </w:rPr>
        <w:t>7) 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</w:r>
    </w:p>
    <w:p w:rsidR="00D81973" w:rsidRPr="00D81973" w:rsidRDefault="00D81973" w:rsidP="00D81973">
      <w:pPr>
        <w:keepNext/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540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48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1"/>
        <w:gridCol w:w="1580"/>
        <w:gridCol w:w="1579"/>
        <w:gridCol w:w="1579"/>
      </w:tblGrid>
      <w:tr w:rsidR="00D81973" w:rsidRPr="00667059" w:rsidTr="00AA1D5B">
        <w:trPr>
          <w:trHeight w:val="713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713"/>
        </w:trPr>
        <w:tc>
          <w:tcPr>
            <w:tcW w:w="244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      </w:r>
          </w:p>
        </w:tc>
        <w:tc>
          <w:tcPr>
            <w:tcW w:w="850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8 275,60000</w:t>
            </w:r>
          </w:p>
        </w:tc>
        <w:tc>
          <w:tcPr>
            <w:tcW w:w="850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10 365,60000</w:t>
            </w:r>
          </w:p>
        </w:tc>
        <w:tc>
          <w:tcPr>
            <w:tcW w:w="850" w:type="pct"/>
            <w:tcMar>
              <w:left w:w="57" w:type="dxa"/>
              <w:right w:w="57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8 565,20000</w:t>
            </w:r>
          </w:p>
        </w:tc>
      </w:tr>
    </w:tbl>
    <w:p w:rsidR="00D81973" w:rsidRPr="00D81973" w:rsidRDefault="00D81973" w:rsidP="00D81973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Прогноз доходов осуществляется методом усреднения. Алгоритм определяется исходя из усреднения годовых объемов поступлений за предшествующие три года.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A77C8C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  <w:lang w:bidi="ru-RU"/>
              </w:rPr>
            </m:ctrlPr>
          </m:fPr>
          <m:num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2005531,26+15766842,73+7054477,44</m:t>
            </m:r>
          </m:num>
          <m:den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3</m:t>
            </m:r>
          </m:den>
        </m:f>
        <m:r>
          <m:rPr>
            <m:nor/>
          </m:rPr>
          <w:rPr>
            <w:color w:val="000000"/>
            <w:sz w:val="24"/>
            <w:szCs w:val="24"/>
            <w:lang w:bidi="ru-RU"/>
          </w:rPr>
          <m:t xml:space="preserve"> </m:t>
        </m:r>
      </m:oMath>
      <w:r w:rsidR="00D81973" w:rsidRPr="00D81973">
        <w:rPr>
          <w:color w:val="000000"/>
          <w:sz w:val="24"/>
          <w:szCs w:val="24"/>
          <w:lang w:bidi="ru-RU"/>
        </w:rPr>
        <w:t>= 8 275 617,14 – 2027 год;</w:t>
      </w:r>
    </w:p>
    <w:p w:rsidR="00D81973" w:rsidRPr="00D81973" w:rsidRDefault="00D81973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</w:p>
    <w:p w:rsidR="00D81973" w:rsidRPr="00D81973" w:rsidRDefault="00A77C8C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  <w:lang w:bidi="ru-RU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  <w:lang w:bidi="ru-RU"/>
              </w:rPr>
              <m:t>15766842,73+7054477,44+8275617,14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  <w:lang w:bidi="ru-RU"/>
              </w:rPr>
              <m:t>3</m:t>
            </m:r>
          </m:den>
        </m:f>
        <m:r>
          <w:rPr>
            <w:rFonts w:ascii="Cambria Math" w:hAnsi="Cambria Math"/>
            <w:color w:val="000000"/>
            <w:sz w:val="24"/>
            <w:szCs w:val="24"/>
            <w:lang w:bidi="ru-RU"/>
          </w:rPr>
          <m:t xml:space="preserve"> </m:t>
        </m:r>
      </m:oMath>
      <w:r w:rsidR="00D81973" w:rsidRPr="00D81973">
        <w:rPr>
          <w:color w:val="000000"/>
          <w:sz w:val="24"/>
          <w:szCs w:val="24"/>
          <w:lang w:bidi="ru-RU"/>
        </w:rPr>
        <w:t>= 10 365 646,77 – 2028 год;</w:t>
      </w:r>
    </w:p>
    <w:p w:rsidR="00D81973" w:rsidRPr="00D81973" w:rsidRDefault="00D81973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</w:p>
    <w:p w:rsidR="00D81973" w:rsidRPr="00D81973" w:rsidRDefault="00A77C8C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  <w:lang w:bidi="ru-RU"/>
              </w:rPr>
            </m:ctrlPr>
          </m:fPr>
          <m:num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7054477,44+8275617,14+10365645,77</m:t>
            </m:r>
          </m:num>
          <m:den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3</m:t>
            </m:r>
          </m:den>
        </m:f>
      </m:oMath>
      <w:r w:rsidR="00D81973" w:rsidRPr="00D81973">
        <w:rPr>
          <w:color w:val="000000"/>
          <w:sz w:val="24"/>
          <w:szCs w:val="24"/>
          <w:lang w:bidi="ru-RU"/>
        </w:rPr>
        <w:t xml:space="preserve"> = 8 565 246,78 – 2029 год.</w:t>
      </w:r>
    </w:p>
    <w:p w:rsidR="00D81973" w:rsidRPr="00D81973" w:rsidRDefault="00D81973" w:rsidP="00D81973">
      <w:pPr>
        <w:widowControl w:val="0"/>
        <w:shd w:val="clear" w:color="auto" w:fill="FFFFFF"/>
        <w:rPr>
          <w:color w:val="000000"/>
          <w:sz w:val="24"/>
          <w:szCs w:val="24"/>
          <w:lang w:bidi="ru-RU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Прогноз доходов произведен в соответствии с Методикой прогнозирования поступлений в бюджет Сосновоборского городского округа доходов, администрируемых КУМИ Сосновоборского городского округа, утвержденной Распоряжением КУМИ от 14.10.2022 № 125-р.</w:t>
      </w:r>
    </w:p>
    <w:p w:rsidR="00D81973" w:rsidRPr="00D81973" w:rsidRDefault="00D81973" w:rsidP="00D81973">
      <w:pPr>
        <w:keepNext/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numPr>
          <w:ilvl w:val="0"/>
          <w:numId w:val="12"/>
        </w:numPr>
        <w:shd w:val="clear" w:color="auto" w:fill="FFFFFF"/>
        <w:tabs>
          <w:tab w:val="left" w:pos="284"/>
          <w:tab w:val="left" w:pos="993"/>
        </w:tabs>
        <w:ind w:left="0" w:firstLine="567"/>
        <w:contextualSpacing/>
        <w:jc w:val="both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 xml:space="preserve">Доходы, получаемые в виде арендной платы за земельные участки </w:t>
      </w:r>
      <w:r w:rsidRPr="00D81973">
        <w:rPr>
          <w:color w:val="000000"/>
          <w:sz w:val="24"/>
          <w:szCs w:val="24"/>
        </w:rPr>
        <w:t>КБК - 003 111 050 12 04 1000</w:t>
      </w:r>
    </w:p>
    <w:p w:rsidR="00D81973" w:rsidRPr="00D81973" w:rsidRDefault="00D81973" w:rsidP="00D81973">
      <w:pPr>
        <w:shd w:val="clear" w:color="auto" w:fill="FFFFFF"/>
        <w:tabs>
          <w:tab w:val="left" w:pos="284"/>
        </w:tabs>
        <w:ind w:left="567"/>
        <w:contextualSpacing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50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5"/>
        <w:gridCol w:w="1442"/>
        <w:gridCol w:w="1546"/>
        <w:gridCol w:w="1569"/>
      </w:tblGrid>
      <w:tr w:rsidR="00D81973" w:rsidRPr="00667059" w:rsidTr="00AA1D5B">
        <w:tc>
          <w:tcPr>
            <w:tcW w:w="2670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737" w:type="pct"/>
            <w:tcMar>
              <w:left w:w="57" w:type="dxa"/>
              <w:right w:w="57" w:type="dxa"/>
            </w:tcMar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790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802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713"/>
        </w:trPr>
        <w:tc>
          <w:tcPr>
            <w:tcW w:w="2670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КБК - 003 111 050 12 04 1000 120 «Доходы, получаемые в виде арендной платы за земельные участки, государственная собственности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(арендная плата, включая перерасчеты, недоимку и задолженность)»</w:t>
            </w:r>
          </w:p>
        </w:tc>
        <w:tc>
          <w:tcPr>
            <w:tcW w:w="737" w:type="pct"/>
            <w:tcMar>
              <w:left w:w="57" w:type="dxa"/>
              <w:right w:w="57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84 574,39200</w:t>
            </w:r>
          </w:p>
        </w:tc>
        <w:tc>
          <w:tcPr>
            <w:tcW w:w="790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85 721,17500</w:t>
            </w:r>
          </w:p>
        </w:tc>
        <w:tc>
          <w:tcPr>
            <w:tcW w:w="802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88 747,86600</w:t>
            </w:r>
          </w:p>
        </w:tc>
      </w:tr>
    </w:tbl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           Расчет прогнозируемых доходов произведен с учетом имеющихся данных о сумме начислений по действующим в 2026 договорам аренды, прогнозируемых суммах выпадающих доходов в связи с окончанием арендных отношений, применяя показатель </w:t>
      </w:r>
      <w:r w:rsidRPr="00D81973">
        <w:rPr>
          <w:color w:val="000000"/>
          <w:sz w:val="24"/>
          <w:szCs w:val="24"/>
        </w:rPr>
        <w:lastRenderedPageBreak/>
        <w:t xml:space="preserve">уровня собираемости арендной платы за предыдущие три года 2023-2025 (99,16%) и уровень инфляции, применяемый в соответствии постановлением Правительства Ленинградской области </w:t>
      </w:r>
      <w:r w:rsidRPr="00D81973">
        <w:rPr>
          <w:rFonts w:eastAsia="Calibri"/>
          <w:color w:val="000000"/>
          <w:sz w:val="24"/>
          <w:szCs w:val="24"/>
        </w:rPr>
        <w:t>22.12.2025 № 1073</w:t>
      </w:r>
      <w:r w:rsidRPr="00D81973">
        <w:rPr>
          <w:rFonts w:eastAsia="Calibri"/>
          <w:bCs/>
          <w:color w:val="000000"/>
          <w:sz w:val="24"/>
          <w:szCs w:val="24"/>
        </w:rPr>
        <w:t xml:space="preserve"> «</w:t>
      </w:r>
      <w:r w:rsidRPr="00D81973">
        <w:rPr>
          <w:rFonts w:eastAsia="Calibri"/>
          <w:color w:val="000000"/>
          <w:sz w:val="24"/>
          <w:szCs w:val="24"/>
        </w:rPr>
        <w:t>Об определении уровня инфляции, применяемого для индексирования размера базовой ставки арендной платы за использование земельных участков, находящихся в собственности Ленинградской области, а также земельных участков, государственная собственность на которые не разграничена, в Ленинградской области, предоставленных без проведения торгов, на 2026 год</w:t>
      </w:r>
      <w:r w:rsidRPr="00D81973">
        <w:rPr>
          <w:rFonts w:eastAsia="Calibri"/>
          <w:bCs/>
          <w:color w:val="000000"/>
          <w:sz w:val="24"/>
          <w:szCs w:val="24"/>
        </w:rPr>
        <w:t>»</w:t>
      </w:r>
      <w:r w:rsidRPr="00D81973">
        <w:rPr>
          <w:color w:val="000000"/>
          <w:sz w:val="24"/>
          <w:szCs w:val="24"/>
        </w:rPr>
        <w:t>, к базовой ставке арендной платы в 2026 (4 %).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left="709"/>
        <w:jc w:val="both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widowControl w:val="0"/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567" w:firstLine="0"/>
        <w:jc w:val="both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Доходы, получаемые в виде арендной платы за земельные участки КБК 003 111 050 24 04 1000 120</w:t>
      </w:r>
    </w:p>
    <w:p w:rsidR="00D81973" w:rsidRPr="00D81973" w:rsidRDefault="00D81973" w:rsidP="00D81973">
      <w:pPr>
        <w:shd w:val="clear" w:color="auto" w:fill="FFFFFF"/>
        <w:tabs>
          <w:tab w:val="left" w:pos="284"/>
        </w:tabs>
        <w:ind w:left="567"/>
        <w:contextualSpacing/>
        <w:jc w:val="right"/>
        <w:rPr>
          <w:b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2"/>
        <w:gridCol w:w="1314"/>
        <w:gridCol w:w="1416"/>
        <w:gridCol w:w="1416"/>
      </w:tblGrid>
      <w:tr w:rsidR="00D81973" w:rsidRPr="00667059" w:rsidTr="00AA1D5B">
        <w:tc>
          <w:tcPr>
            <w:tcW w:w="2873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703" w:type="pct"/>
            <w:tcMar>
              <w:left w:w="57" w:type="dxa"/>
              <w:right w:w="57" w:type="dxa"/>
            </w:tcMar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675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749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713"/>
        </w:trPr>
        <w:tc>
          <w:tcPr>
            <w:tcW w:w="2873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КБК -  003 111 050 24 04 1000 120 «Доходы, полученные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 (арендная плата, включая перерасчеты, недоимку и задолженность)»</w:t>
            </w:r>
          </w:p>
        </w:tc>
        <w:tc>
          <w:tcPr>
            <w:tcW w:w="703" w:type="pct"/>
            <w:tcMar>
              <w:left w:w="57" w:type="dxa"/>
              <w:right w:w="57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1 458,66963</w:t>
            </w:r>
          </w:p>
        </w:tc>
        <w:tc>
          <w:tcPr>
            <w:tcW w:w="675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1 458,66963</w:t>
            </w:r>
          </w:p>
        </w:tc>
        <w:tc>
          <w:tcPr>
            <w:tcW w:w="74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1 458,66963</w:t>
            </w:r>
          </w:p>
        </w:tc>
      </w:tr>
    </w:tbl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keepNext/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Расчет прогнозируемых доходов по КБК произведен исходя их усредненного объема поступлений за 3 последних года (2023-2025):</w:t>
      </w:r>
    </w:p>
    <w:p w:rsidR="00D81973" w:rsidRPr="00D81973" w:rsidRDefault="00D81973" w:rsidP="00D81973">
      <w:pPr>
        <w:keepNext/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A77C8C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  <w:lang w:bidi="ru-RU"/>
              </w:rPr>
            </m:ctrlPr>
          </m:fPr>
          <m:num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2198909+1114955+1062144,91</m:t>
            </m:r>
          </m:num>
          <m:den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3</m:t>
            </m:r>
          </m:den>
        </m:f>
      </m:oMath>
      <w:r w:rsidR="00D81973" w:rsidRPr="00D81973">
        <w:rPr>
          <w:color w:val="000000"/>
          <w:sz w:val="24"/>
          <w:szCs w:val="24"/>
          <w:lang w:bidi="ru-RU"/>
        </w:rPr>
        <w:t xml:space="preserve"> = 1458669,63</w:t>
      </w:r>
    </w:p>
    <w:p w:rsidR="00D81973" w:rsidRPr="00D81973" w:rsidRDefault="00D81973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Источник данных: данные бухгалтерского учета о поступлениях доходов от аренды земельных участков.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widowControl w:val="0"/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Доходы от продажи земельных участков КБК – 003 114 060 12 04 1000 430</w:t>
      </w:r>
    </w:p>
    <w:p w:rsidR="00D81973" w:rsidRPr="00D81973" w:rsidRDefault="00D81973" w:rsidP="00D81973">
      <w:pPr>
        <w:shd w:val="clear" w:color="auto" w:fill="FFFFFF"/>
        <w:tabs>
          <w:tab w:val="left" w:pos="284"/>
        </w:tabs>
        <w:ind w:left="927"/>
        <w:contextualSpacing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50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6"/>
        <w:gridCol w:w="1434"/>
        <w:gridCol w:w="1536"/>
        <w:gridCol w:w="1536"/>
      </w:tblGrid>
      <w:tr w:rsidR="00D81973" w:rsidRPr="00667059" w:rsidTr="00AA1D5B">
        <w:tc>
          <w:tcPr>
            <w:tcW w:w="2807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755" w:type="pct"/>
            <w:tcMar>
              <w:left w:w="57" w:type="dxa"/>
              <w:right w:w="57" w:type="dxa"/>
            </w:tcMar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718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719" w:type="pct"/>
          </w:tcPr>
          <w:p w:rsidR="00D81973" w:rsidRPr="00D81973" w:rsidRDefault="00D81973" w:rsidP="00D81973">
            <w:pPr>
              <w:keepNext/>
              <w:shd w:val="clear" w:color="auto" w:fill="FFFFFF"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973">
              <w:rPr>
                <w:b/>
                <w:bCs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rPr>
          <w:trHeight w:val="713"/>
        </w:trPr>
        <w:tc>
          <w:tcPr>
            <w:tcW w:w="2807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КБК – 003 114 060 12 04 1000 430 «Доходы от продажи земельных участков, государственная собственность на которые не разграничена и которые расположены в границах городских округов (основной платеж)»</w:t>
            </w:r>
          </w:p>
        </w:tc>
        <w:tc>
          <w:tcPr>
            <w:tcW w:w="755" w:type="pct"/>
            <w:tcMar>
              <w:left w:w="57" w:type="dxa"/>
              <w:right w:w="57" w:type="dxa"/>
            </w:tcMar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23 244,03424</w:t>
            </w:r>
          </w:p>
        </w:tc>
        <w:tc>
          <w:tcPr>
            <w:tcW w:w="718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23 244,03424</w:t>
            </w:r>
          </w:p>
        </w:tc>
        <w:tc>
          <w:tcPr>
            <w:tcW w:w="71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81973">
              <w:rPr>
                <w:color w:val="000000"/>
                <w:sz w:val="24"/>
                <w:szCs w:val="24"/>
              </w:rPr>
              <w:t>23 244,03424</w:t>
            </w:r>
          </w:p>
        </w:tc>
      </w:tr>
    </w:tbl>
    <w:p w:rsidR="00D81973" w:rsidRPr="00D81973" w:rsidRDefault="00D81973" w:rsidP="00D81973">
      <w:pPr>
        <w:keepNext/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keepNext/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Расчет прогнозируемых доходов по КБК произведен исходя из усредненного объема поступлений за 3 последних года (2023-2025):</w:t>
      </w:r>
    </w:p>
    <w:p w:rsidR="00D81973" w:rsidRPr="00D81973" w:rsidRDefault="00D81973" w:rsidP="00D81973">
      <w:pPr>
        <w:keepNext/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A77C8C" w:rsidP="00D81973">
      <w:pPr>
        <w:widowControl w:val="0"/>
        <w:shd w:val="clear" w:color="auto" w:fill="FFFFFF"/>
        <w:jc w:val="center"/>
        <w:rPr>
          <w:color w:val="000000"/>
          <w:sz w:val="24"/>
          <w:szCs w:val="24"/>
          <w:lang w:bidi="ru-RU"/>
        </w:rPr>
      </w:pP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  <w:lang w:bidi="ru-RU"/>
              </w:rPr>
            </m:ctrlPr>
          </m:fPr>
          <m:num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11527847+17573207+40631048,73</m:t>
            </m:r>
          </m:num>
          <m:den>
            <m:r>
              <m:rPr>
                <m:nor/>
              </m:rPr>
              <w:rPr>
                <w:color w:val="000000"/>
                <w:sz w:val="24"/>
                <w:szCs w:val="24"/>
                <w:lang w:bidi="ru-RU"/>
              </w:rPr>
              <m:t>3</m:t>
            </m:r>
          </m:den>
        </m:f>
      </m:oMath>
      <w:r w:rsidR="00D81973" w:rsidRPr="00D81973">
        <w:rPr>
          <w:color w:val="000000"/>
          <w:sz w:val="24"/>
          <w:szCs w:val="24"/>
          <w:lang w:bidi="ru-RU"/>
        </w:rPr>
        <w:t xml:space="preserve"> = 23244034,24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Источник данных: данные бухгалтерского учета о поступлениях доходов от продажи земельных участков.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81973" w:rsidRPr="00D81973" w:rsidRDefault="00D81973" w:rsidP="00D81973">
      <w:pPr>
        <w:numPr>
          <w:ilvl w:val="0"/>
          <w:numId w:val="12"/>
        </w:numPr>
        <w:shd w:val="clear" w:color="auto" w:fill="FFFFFF"/>
        <w:contextualSpacing/>
        <w:jc w:val="both"/>
        <w:rPr>
          <w:b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 xml:space="preserve"> Прочие неналоговые доходы бюджетов городских округов (сумма платежа)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left="1287"/>
        <w:jc w:val="right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9"/>
        <w:gridCol w:w="1899"/>
        <w:gridCol w:w="1462"/>
        <w:gridCol w:w="1598"/>
      </w:tblGrid>
      <w:tr w:rsidR="00D81973" w:rsidRPr="00667059" w:rsidTr="00AA1D5B"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D81973">
              <w:rPr>
                <w:b/>
                <w:color w:val="000000"/>
                <w:sz w:val="24"/>
                <w:szCs w:val="24"/>
              </w:rPr>
              <w:t>2029</w:t>
            </w:r>
          </w:p>
        </w:tc>
      </w:tr>
      <w:tr w:rsidR="00D81973" w:rsidRPr="00667059" w:rsidTr="00AA1D5B">
        <w:tc>
          <w:tcPr>
            <w:tcW w:w="2425" w:type="pct"/>
          </w:tcPr>
          <w:p w:rsidR="00D81973" w:rsidRPr="00D81973" w:rsidRDefault="00D81973" w:rsidP="00D8197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lastRenderedPageBreak/>
              <w:t>Прочие неналоговые доходы бюджетов городских округов (сумма платежа)</w:t>
            </w:r>
          </w:p>
        </w:tc>
        <w:tc>
          <w:tcPr>
            <w:tcW w:w="986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1 641,69681</w:t>
            </w:r>
          </w:p>
        </w:tc>
        <w:tc>
          <w:tcPr>
            <w:tcW w:w="759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1 718,85656</w:t>
            </w:r>
          </w:p>
        </w:tc>
        <w:tc>
          <w:tcPr>
            <w:tcW w:w="830" w:type="pct"/>
            <w:vAlign w:val="center"/>
          </w:tcPr>
          <w:p w:rsidR="00D81973" w:rsidRPr="00D81973" w:rsidRDefault="00D81973" w:rsidP="00D81973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1 787,61082</w:t>
            </w:r>
          </w:p>
        </w:tc>
      </w:tr>
    </w:tbl>
    <w:p w:rsidR="00D81973" w:rsidRPr="00D81973" w:rsidRDefault="00D81973" w:rsidP="00D81973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jc w:val="center"/>
        <w:rPr>
          <w:b/>
          <w:color w:val="000000"/>
          <w:sz w:val="24"/>
          <w:szCs w:val="24"/>
        </w:rPr>
      </w:pPr>
      <w:r w:rsidRPr="00D81973">
        <w:rPr>
          <w:b/>
          <w:color w:val="000000"/>
          <w:sz w:val="24"/>
          <w:szCs w:val="24"/>
        </w:rPr>
        <w:t>Обоснование и расчеты: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Расчет показателей на плановый период 2027-2029 гг. был произведен с учётом прогнозного значения индекса потребительских цен.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Снижение показателей обусловлено значительной корректировкой бюджета во 2 квартале 2026 года, спадом активности субъектов торговли в части направления новых заявлений на включение НТО в Схему размещения. 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По многим действующим договорам на право размещения НТО в 2026-2027 гг. заканчивается срок размещения НТО. Спрогнозировать поступление заявлений о продлении срока действия договора не представляется возможным.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81973">
        <w:rPr>
          <w:color w:val="000000"/>
          <w:sz w:val="24"/>
          <w:szCs w:val="24"/>
        </w:rPr>
        <w:t xml:space="preserve">Доходы по КБК: </w:t>
      </w:r>
      <w:r w:rsidRPr="00D81973">
        <w:rPr>
          <w:rFonts w:eastAsia="Calibri"/>
          <w:color w:val="000000"/>
          <w:sz w:val="24"/>
          <w:szCs w:val="24"/>
          <w:lang w:eastAsia="en-US"/>
        </w:rPr>
        <w:t>20227112040000150, 11105324041000120, 11302994040000130, 11610061041000140,11610081041000140,11610123010041140,11705040041000180, 21960010040000150, 11105312041000120 не прогнозируются в связи с отсутствием.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4"/>
          <w:szCs w:val="24"/>
        </w:rPr>
      </w:pPr>
    </w:p>
    <w:p w:rsidR="00D81973" w:rsidRPr="00D81973" w:rsidRDefault="00D81973" w:rsidP="00D81973">
      <w:pPr>
        <w:pStyle w:val="2"/>
        <w:shd w:val="clear" w:color="auto" w:fill="FFFFFF"/>
        <w:rPr>
          <w:color w:val="000000"/>
          <w:szCs w:val="24"/>
        </w:rPr>
      </w:pPr>
      <w:bookmarkStart w:id="46" w:name="_Toc242279734"/>
      <w:r w:rsidRPr="00D81973">
        <w:rPr>
          <w:color w:val="000000"/>
          <w:szCs w:val="24"/>
        </w:rPr>
        <w:t>8. Природопользование и экологическая безопасность</w:t>
      </w:r>
      <w:bookmarkEnd w:id="45"/>
      <w:bookmarkEnd w:id="46"/>
    </w:p>
    <w:p w:rsidR="00D81973" w:rsidRPr="00D81973" w:rsidRDefault="00D81973" w:rsidP="00D81973">
      <w:pPr>
        <w:pStyle w:val="21"/>
        <w:shd w:val="clear" w:color="auto" w:fill="FFFFFF"/>
        <w:spacing w:after="0" w:line="240" w:lineRule="auto"/>
        <w:ind w:left="0" w:firstLine="709"/>
        <w:rPr>
          <w:b/>
          <w:bCs/>
          <w:color w:val="000000"/>
          <w:sz w:val="24"/>
          <w:szCs w:val="24"/>
        </w:rPr>
      </w:pPr>
    </w:p>
    <w:p w:rsidR="00D81973" w:rsidRPr="00D81973" w:rsidRDefault="00D81973" w:rsidP="00D81973">
      <w:pPr>
        <w:shd w:val="clear" w:color="auto" w:fill="FFFFFF"/>
        <w:ind w:firstLine="709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t>Ожидаемые итоги 2026 года.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2026 году продолжается решение следующих вопросов в сфере природопользования, охраны окружающей среды и экологической безопасности.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en-US"/>
        </w:rPr>
      </w:pPr>
      <w:r w:rsidRPr="00D81973">
        <w:rPr>
          <w:color w:val="000000"/>
          <w:sz w:val="24"/>
          <w:szCs w:val="24"/>
          <w:lang w:eastAsia="en-US"/>
        </w:rPr>
        <w:t>В рамках муниципальной программы «Городское хозяйство на 2014-2030 годы», утвержденной постановлением администрации Сосновоборского городского округа от 27.11.2013 № 2904 (с изменениями):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  <w:lang w:eastAsia="en-US"/>
        </w:rPr>
        <w:t xml:space="preserve">1. </w:t>
      </w:r>
      <w:r w:rsidRPr="00D81973">
        <w:rPr>
          <w:color w:val="000000"/>
          <w:sz w:val="24"/>
          <w:szCs w:val="24"/>
        </w:rPr>
        <w:t>«Оказание услуг по вывозу с территории муниципального образования Сосновоборский городской округ Ленинградской области и уничтожению биологических отходов» (контракт № 165 от 23.04.2026 на сумму 150 000 рублей 00 копеек), в рамках которого выполнены запланированные мероприятия: транспортировка биологических отходов с территории Сосновоборского городского округа и их уничтожение. И планируется заключение нового контракта на сумму 100 000 рублей 00 копеек;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en-US"/>
        </w:rPr>
      </w:pPr>
      <w:r w:rsidRPr="00D81973">
        <w:rPr>
          <w:color w:val="000000"/>
          <w:sz w:val="24"/>
          <w:szCs w:val="24"/>
          <w:lang w:eastAsia="en-US"/>
        </w:rPr>
        <w:t>2. «Оказание услуг по погрузке биологических отходов, находящихся на территории муниципального образования Сосновоборский городской округ Ленинградской области для их вывоза и уничтожения» (контракт № 28 от 02.02.2026 на сумму на 145 000 рублей 00 копеек), в рамках которого выполнены запланированные мероприятия. И планируется заключение нового контракта на сумму 150 000 рублей 00 копеек;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en-US"/>
        </w:rPr>
      </w:pPr>
      <w:r w:rsidRPr="00D81973">
        <w:rPr>
          <w:color w:val="000000"/>
          <w:sz w:val="24"/>
          <w:szCs w:val="24"/>
        </w:rPr>
        <w:t>3.</w:t>
      </w:r>
      <w:r w:rsidRPr="00D81973">
        <w:rPr>
          <w:color w:val="000000"/>
          <w:sz w:val="24"/>
          <w:szCs w:val="24"/>
          <w:lang w:eastAsia="en-US"/>
        </w:rPr>
        <w:t xml:space="preserve"> В рамках муниципального контракта </w:t>
      </w:r>
      <w:r w:rsidRPr="00D81973">
        <w:rPr>
          <w:color w:val="000000"/>
          <w:kern w:val="32"/>
          <w:sz w:val="24"/>
          <w:szCs w:val="24"/>
        </w:rPr>
        <w:t xml:space="preserve">№ </w:t>
      </w:r>
      <w:r w:rsidRPr="00D81973">
        <w:rPr>
          <w:color w:val="000000"/>
          <w:sz w:val="24"/>
          <w:szCs w:val="24"/>
        </w:rPr>
        <w:t xml:space="preserve">225363 от 17.02.2026 на сумму 530 000,00 руб., заключенного </w:t>
      </w:r>
      <w:r w:rsidRPr="00D81973">
        <w:rPr>
          <w:color w:val="000000"/>
          <w:sz w:val="24"/>
          <w:szCs w:val="24"/>
          <w:lang w:eastAsia="en-US"/>
        </w:rPr>
        <w:t>с ИП Кириленко Н.А. реализованы мероприятия: снос сухостойных, ветровальных и аварийных зеленых насаждений, очистка зон зеленых насаждений от захламления, механическая расчистка береговой зоны водозаборных площадок, реконструкция и восстановление зелёных насаждений, контракт исполнен;</w:t>
      </w:r>
    </w:p>
    <w:p w:rsidR="00D81973" w:rsidRPr="00D81973" w:rsidRDefault="00D81973" w:rsidP="00D81973">
      <w:pPr>
        <w:shd w:val="clear" w:color="auto" w:fill="FFFFFF"/>
        <w:ind w:firstLine="680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4. Продолжают выполняться следующие муниципальные услуги: «По выдаче разрешения на снос или пересадку зеленых насаждений на земельных участках, находящихся в муниципальной собственности, и земельных участках, государственная собственность на которые не разграничена, на территории муниципального образования Сосновоборский городской округ Ленинградской области» (в рамках постановления администрации Сосновоборского городского округа, утвердившей административный регламент от 28/01/2025 № 191), «Согласование создания места (площадки) накопления твёрдых коммунальных отходов на территории муниципального образования Сосновоборский городской округ Ленинградской области» (в рамках постановления администрации Сосновоборского городского округа, утвердившей административный регламент от 19/02/2026 № 483), </w:t>
      </w:r>
    </w:p>
    <w:p w:rsidR="00D81973" w:rsidRPr="00D81973" w:rsidRDefault="00D81973" w:rsidP="00D8197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en-US"/>
        </w:rPr>
      </w:pPr>
    </w:p>
    <w:p w:rsidR="00D81973" w:rsidRPr="00D81973" w:rsidRDefault="00D81973" w:rsidP="00D81973">
      <w:pPr>
        <w:shd w:val="clear" w:color="auto" w:fill="FFFFFF"/>
        <w:ind w:firstLine="709"/>
        <w:rPr>
          <w:b/>
          <w:bCs/>
          <w:color w:val="000000"/>
          <w:sz w:val="24"/>
          <w:szCs w:val="24"/>
        </w:rPr>
      </w:pPr>
      <w:r w:rsidRPr="00D81973">
        <w:rPr>
          <w:b/>
          <w:bCs/>
          <w:color w:val="000000"/>
          <w:sz w:val="24"/>
          <w:szCs w:val="24"/>
        </w:rPr>
        <w:lastRenderedPageBreak/>
        <w:t>Прогноз на 2027-2029 годы.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В целях соблюдения природоохранного законодательства, рационального использования природных ресурсов, сохранения и улучшения качества окружающей природной среды, осуществления принципов ресурсосбережения, обеспечения экологической безопасности, а также в соответствии с Указом Президента Российской Федерации от 07.05.2018 № 204 и компетенцией органов местного самоуправления городского округа должны быть решены следующие задачи: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  <w:shd w:val="clear" w:color="auto" w:fill="FFFFFF"/>
        </w:rPr>
        <w:t xml:space="preserve">- совместно с региональным оператором по обращению с твердыми коммунальными </w:t>
      </w:r>
      <w:r w:rsidRPr="00D81973">
        <w:rPr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АО «Управляющая компания по обращению с отходами Ленинградской области»</w:t>
      </w:r>
      <w:r w:rsidRPr="00D81973">
        <w:rPr>
          <w:color w:val="000000"/>
          <w:sz w:val="24"/>
          <w:szCs w:val="24"/>
          <w:shd w:val="clear" w:color="auto" w:fill="FFFFFF"/>
        </w:rPr>
        <w:t xml:space="preserve"> принимать участие в реализации реформы в области обращения с твердыми коммунальными отходами в Ленинградской области;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оказывать содействие индивидуальным предпринимателям, юридическим лицам, в результате хозяйственной и (или) иной деятельности, которых образуются отходы I и II классов опасности обеспечивать их безопасное обращение;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выполнять мероприятия по охране окружающей среды в массивах зеленых насаждений Сосновоборского городского округа рамках муниципальной программы «Городское хозяйство»;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взаимодействовать с ОМВД России по г. Сосновый Бор Ленинградской области по вопросам незаконных вырубок зеленых насаждений, а также уборки свалок;</w:t>
      </w:r>
    </w:p>
    <w:p w:rsidR="00D81973" w:rsidRPr="00D81973" w:rsidRDefault="00D81973" w:rsidP="00D81973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>- содействовать информированию, экологическому воспитанию и образованию населения Сосновоборского городского округа.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D81973">
        <w:rPr>
          <w:color w:val="000000"/>
          <w:sz w:val="24"/>
          <w:szCs w:val="24"/>
        </w:rPr>
        <w:t xml:space="preserve">Прогноз поступлений в местный бюджет от восстановительной стоимости зеленых насаждений в 2027-2029 г. составит: в 2027 г. - 21917,0 тыс. руб., в 2028 г. - 22947,0 тыс. руб., в 2029 г. – 23865,0 тыс. руб. Расчет произведен в соответствии с методикой прогнозирования поступлений доходов в бюджет Сосновоборского городского округа, </w:t>
      </w:r>
      <w:r w:rsidRPr="00D81973">
        <w:rPr>
          <w:rFonts w:eastAsia="Calibri"/>
          <w:color w:val="000000"/>
          <w:sz w:val="24"/>
          <w:szCs w:val="24"/>
        </w:rPr>
        <w:t>с учетом их фактических поступлений за предшествующие 3 года, имеющих системный характер, без учета поступлений от доходов, которые имеют разовый характер, с применением индекса потребительских цен</w:t>
      </w:r>
      <w:r w:rsidRPr="002B4733">
        <w:rPr>
          <w:sz w:val="24"/>
          <w:szCs w:val="24"/>
        </w:rPr>
        <w:t xml:space="preserve"> на </w:t>
      </w:r>
      <w:r w:rsidRPr="00D81973">
        <w:rPr>
          <w:rFonts w:eastAsia="Calibri"/>
          <w:color w:val="000000"/>
          <w:sz w:val="24"/>
          <w:szCs w:val="24"/>
        </w:rPr>
        <w:t xml:space="preserve">планируемый период.  Доходы бюджета от восстановительной стоимости зеленых насаждений, снос которых будет производиться при осуществлении строительных работ по объектам, отраженным в разделе 1.6 «Инвестиции и строительство» будут учтены в доходной части бюджета при условии их фактических поступлений в течение года по постановлениям администрации </w:t>
      </w:r>
      <w:r w:rsidRPr="00D81973">
        <w:rPr>
          <w:color w:val="000000"/>
          <w:sz w:val="24"/>
          <w:szCs w:val="24"/>
        </w:rPr>
        <w:t>о вырубке зеленых насаждений, произрастающих на земельных участках, подлежащих застройке.</w:t>
      </w:r>
    </w:p>
    <w:p w:rsidR="00D81973" w:rsidRPr="00D81973" w:rsidRDefault="00D81973" w:rsidP="00D81973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9"/>
        <w:gridCol w:w="5387"/>
      </w:tblGrid>
      <w:tr w:rsidR="00D81973" w:rsidRPr="00667059" w:rsidTr="00AA1D5B">
        <w:tc>
          <w:tcPr>
            <w:tcW w:w="4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973" w:rsidRPr="00D81973" w:rsidRDefault="00D81973" w:rsidP="00D81973">
            <w:pPr>
              <w:shd w:val="clear" w:color="auto" w:fill="FFFFFF"/>
              <w:spacing w:before="120"/>
              <w:ind w:firstLine="225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Основные проблемы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973" w:rsidRPr="00D81973" w:rsidRDefault="00D81973" w:rsidP="00D81973">
            <w:pPr>
              <w:shd w:val="clear" w:color="auto" w:fill="FFFFFF"/>
              <w:spacing w:before="120"/>
              <w:ind w:firstLine="225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Предполагаемые пути решения</w:t>
            </w:r>
          </w:p>
        </w:tc>
      </w:tr>
      <w:tr w:rsidR="00D81973" w:rsidRPr="00667059" w:rsidTr="00AA1D5B">
        <w:tc>
          <w:tcPr>
            <w:tcW w:w="4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973" w:rsidRPr="00D81973" w:rsidRDefault="00D81973" w:rsidP="00D81973">
            <w:pPr>
              <w:shd w:val="clear" w:color="auto" w:fill="FFFFFF"/>
              <w:ind w:firstLine="225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1. В части водоснабжения: недостаточные объемы и качество вод незащищенного поверхностного источника водоснабжения – река Систа. Требование законодательства РФ о необходимости иметь защищенный подземный источник хозяйственно-питьевого водоснабжения.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973" w:rsidRPr="00D81973" w:rsidRDefault="00D81973" w:rsidP="00D81973">
            <w:pPr>
              <w:shd w:val="clear" w:color="auto" w:fill="FFFFFF"/>
              <w:ind w:firstLine="225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Строительство системы водоснабжения из подземного источника за счет средств на строительство Ленинградской АЭС-2 и бюджета Ленинградской области.</w:t>
            </w:r>
          </w:p>
        </w:tc>
      </w:tr>
      <w:tr w:rsidR="00D81973" w:rsidRPr="00667059" w:rsidTr="00D81973">
        <w:tc>
          <w:tcPr>
            <w:tcW w:w="42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973" w:rsidRPr="00D81973" w:rsidRDefault="00D81973" w:rsidP="00D81973">
            <w:pPr>
              <w:shd w:val="clear" w:color="auto" w:fill="FFFFFF"/>
              <w:ind w:firstLine="225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>2. В части организации очистки ливневых стоков: отсутствует очистка ливневых стоков.</w:t>
            </w:r>
          </w:p>
        </w:tc>
        <w:tc>
          <w:tcPr>
            <w:tcW w:w="53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973" w:rsidRPr="00D81973" w:rsidRDefault="00D81973" w:rsidP="00D81973">
            <w:pPr>
              <w:shd w:val="clear" w:color="auto" w:fill="FFFFFF"/>
              <w:ind w:firstLine="225"/>
              <w:rPr>
                <w:bCs/>
                <w:color w:val="000000"/>
                <w:sz w:val="24"/>
                <w:szCs w:val="24"/>
              </w:rPr>
            </w:pPr>
            <w:r w:rsidRPr="00D81973">
              <w:rPr>
                <w:bCs/>
                <w:color w:val="000000"/>
                <w:sz w:val="24"/>
                <w:szCs w:val="24"/>
              </w:rPr>
              <w:t xml:space="preserve"> Строительство локальных очистных сооружений </w:t>
            </w:r>
            <w:bookmarkStart w:id="47" w:name="_GoBack"/>
            <w:bookmarkEnd w:id="47"/>
            <w:r w:rsidRPr="00D81973">
              <w:rPr>
                <w:bCs/>
                <w:color w:val="000000"/>
                <w:sz w:val="24"/>
                <w:szCs w:val="24"/>
              </w:rPr>
              <w:t>на всех ливневых выпусках с территории города.</w:t>
            </w:r>
          </w:p>
          <w:p w:rsidR="00D81973" w:rsidRPr="00D81973" w:rsidRDefault="00D81973" w:rsidP="00D81973">
            <w:pPr>
              <w:shd w:val="clear" w:color="auto" w:fill="FFFFFF"/>
              <w:ind w:firstLine="225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default" r:id="rId20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973" w:rsidRDefault="00D81973" w:rsidP="00762166">
      <w:r>
        <w:separator/>
      </w:r>
    </w:p>
  </w:endnote>
  <w:endnote w:type="continuationSeparator" w:id="0">
    <w:p w:rsidR="00D81973" w:rsidRDefault="00D81973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86C" w:rsidRDefault="001C186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973" w:rsidRDefault="00D81973">
    <w:pPr>
      <w:pStyle w:val="a5"/>
      <w:jc w:val="right"/>
    </w:pPr>
  </w:p>
  <w:p w:rsidR="00D81973" w:rsidRDefault="00D8197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86C" w:rsidRDefault="001C18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973" w:rsidRDefault="00D81973" w:rsidP="00762166">
      <w:r>
        <w:separator/>
      </w:r>
    </w:p>
  </w:footnote>
  <w:footnote w:type="continuationSeparator" w:id="0">
    <w:p w:rsidR="00D81973" w:rsidRDefault="00D81973" w:rsidP="00762166">
      <w:r>
        <w:continuationSeparator/>
      </w:r>
    </w:p>
  </w:footnote>
  <w:footnote w:id="1">
    <w:p w:rsidR="00D81973" w:rsidRPr="00CE4BB5" w:rsidRDefault="00D81973" w:rsidP="00D81973">
      <w:pPr>
        <w:pStyle w:val="af"/>
        <w:rPr>
          <w:color w:val="000000"/>
        </w:rPr>
      </w:pPr>
      <w:r w:rsidRPr="00CE4BB5">
        <w:rPr>
          <w:rStyle w:val="ae"/>
          <w:color w:val="000000"/>
        </w:rPr>
        <w:footnoteRef/>
      </w:r>
      <w:r w:rsidRPr="00CE4BB5">
        <w:rPr>
          <w:i/>
          <w:color w:val="000000"/>
        </w:rPr>
        <w:t>Показатели деятельности данных организаций в Прогнозе не приведены.</w:t>
      </w:r>
    </w:p>
  </w:footnote>
  <w:footnote w:id="2">
    <w:p w:rsidR="00D81973" w:rsidRPr="00D81973" w:rsidRDefault="00D81973" w:rsidP="00D81973">
      <w:pPr>
        <w:pStyle w:val="af"/>
        <w:rPr>
          <w:i/>
          <w:color w:val="000000"/>
        </w:rPr>
      </w:pPr>
      <w:r w:rsidRPr="00D81973">
        <w:rPr>
          <w:rStyle w:val="ae"/>
          <w:color w:val="000000"/>
        </w:rPr>
        <w:footnoteRef/>
      </w:r>
      <w:r w:rsidRPr="00D81973">
        <w:rPr>
          <w:color w:val="000000"/>
        </w:rPr>
        <w:t xml:space="preserve">  </w:t>
      </w:r>
      <w:r w:rsidRPr="00D81973">
        <w:rPr>
          <w:i/>
          <w:color w:val="000000"/>
        </w:rPr>
        <w:t>Информация размещена на сайте Ленинградской АЭС https://www.rosenergoatom.ru/stations_projects/sayt-leningradskoy-aes/</w:t>
      </w:r>
    </w:p>
    <w:p w:rsidR="00D81973" w:rsidRDefault="00D81973" w:rsidP="00D81973">
      <w:pPr>
        <w:pStyle w:val="af"/>
      </w:pPr>
    </w:p>
  </w:footnote>
  <w:footnote w:id="3">
    <w:p w:rsidR="00D81973" w:rsidRPr="00D81973" w:rsidRDefault="00D81973" w:rsidP="00D81973">
      <w:pPr>
        <w:pStyle w:val="af"/>
        <w:rPr>
          <w:i/>
          <w:color w:val="000000"/>
        </w:rPr>
      </w:pPr>
      <w:r w:rsidRPr="00D81973">
        <w:rPr>
          <w:rStyle w:val="ae"/>
          <w:color w:val="000000"/>
        </w:rPr>
        <w:footnoteRef/>
      </w:r>
      <w:r w:rsidRPr="00D81973">
        <w:rPr>
          <w:i/>
          <w:color w:val="000000"/>
        </w:rPr>
        <w:t>По организации Филиал АО «ЦКБМ» - «ЦКБМ 2» показатели производственной деятельности для целей настоящего Прогноза не используются.</w:t>
      </w:r>
    </w:p>
  </w:footnote>
  <w:footnote w:id="4">
    <w:p w:rsidR="00D81973" w:rsidRPr="00376BF9" w:rsidRDefault="00D81973" w:rsidP="00D81973">
      <w:pPr>
        <w:pStyle w:val="af"/>
        <w:rPr>
          <w:color w:val="0070C0"/>
        </w:rPr>
      </w:pPr>
      <w:r w:rsidRPr="00D81973">
        <w:rPr>
          <w:rStyle w:val="ae"/>
          <w:i/>
          <w:color w:val="000000"/>
        </w:rPr>
        <w:footnoteRef/>
      </w:r>
      <w:r w:rsidRPr="00D81973">
        <w:rPr>
          <w:i/>
          <w:color w:val="000000"/>
        </w:rPr>
        <w:t>Показатели деятельности   Ленинградского отделения филиала «Северо-Западный территориальный округ» ФГУП «РАДОН»  в Прогнозе не представлены.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86C" w:rsidRDefault="001C18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86C" w:rsidRDefault="001C18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86C" w:rsidRDefault="001C186C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87C"/>
    <w:multiLevelType w:val="hybridMultilevel"/>
    <w:tmpl w:val="2AD0D100"/>
    <w:lvl w:ilvl="0" w:tplc="4014BB48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B03712"/>
    <w:multiLevelType w:val="hybridMultilevel"/>
    <w:tmpl w:val="F7342AC8"/>
    <w:lvl w:ilvl="0" w:tplc="2AAC7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C851BD"/>
    <w:multiLevelType w:val="hybridMultilevel"/>
    <w:tmpl w:val="744AAEC8"/>
    <w:lvl w:ilvl="0" w:tplc="AFF0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60D93"/>
    <w:multiLevelType w:val="hybridMultilevel"/>
    <w:tmpl w:val="748A605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0C5E2792"/>
    <w:multiLevelType w:val="hybridMultilevel"/>
    <w:tmpl w:val="CDB429DE"/>
    <w:lvl w:ilvl="0" w:tplc="960A963E">
      <w:start w:val="1"/>
      <w:numFmt w:val="decimal"/>
      <w:pStyle w:val="030"/>
      <w:lvlText w:val="%1."/>
      <w:lvlJc w:val="left"/>
      <w:pPr>
        <w:tabs>
          <w:tab w:val="num" w:pos="-360"/>
        </w:tabs>
        <w:ind w:left="-475" w:hanging="245"/>
      </w:pPr>
      <w:rPr>
        <w:rFonts w:ascii="Book Antiqua" w:eastAsia="Times New Roman" w:hAnsi="Book Antiqua" w:cs="Times New Roman"/>
        <w:sz w:val="22"/>
        <w:szCs w:val="22"/>
        <w:effect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 w15:restartNumberingAfterBreak="0">
    <w:nsid w:val="0CC514AF"/>
    <w:multiLevelType w:val="hybridMultilevel"/>
    <w:tmpl w:val="B1E89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3F38BF"/>
    <w:multiLevelType w:val="hybridMultilevel"/>
    <w:tmpl w:val="5C3000A6"/>
    <w:lvl w:ilvl="0" w:tplc="2AAC722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0ED95192"/>
    <w:multiLevelType w:val="hybridMultilevel"/>
    <w:tmpl w:val="69F4182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0293633"/>
    <w:multiLevelType w:val="hybridMultilevel"/>
    <w:tmpl w:val="0D609280"/>
    <w:lvl w:ilvl="0" w:tplc="2AAC722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7426493"/>
    <w:multiLevelType w:val="hybridMultilevel"/>
    <w:tmpl w:val="58A40E8A"/>
    <w:lvl w:ilvl="0" w:tplc="2AAC7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E20148"/>
    <w:multiLevelType w:val="hybridMultilevel"/>
    <w:tmpl w:val="91E0D538"/>
    <w:lvl w:ilvl="0" w:tplc="2AAC72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212F20"/>
    <w:multiLevelType w:val="hybridMultilevel"/>
    <w:tmpl w:val="3CB8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D28391B"/>
    <w:multiLevelType w:val="hybridMultilevel"/>
    <w:tmpl w:val="E20A4850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220A03"/>
    <w:multiLevelType w:val="hybridMultilevel"/>
    <w:tmpl w:val="A7365A34"/>
    <w:lvl w:ilvl="0" w:tplc="7146E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0784EEC"/>
    <w:multiLevelType w:val="hybridMultilevel"/>
    <w:tmpl w:val="B70E3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B9688E"/>
    <w:multiLevelType w:val="hybridMultilevel"/>
    <w:tmpl w:val="A920AB08"/>
    <w:lvl w:ilvl="0" w:tplc="2AAC72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2DF72AD"/>
    <w:multiLevelType w:val="hybridMultilevel"/>
    <w:tmpl w:val="4E54508A"/>
    <w:lvl w:ilvl="0" w:tplc="2AAC72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79718AF"/>
    <w:multiLevelType w:val="hybridMultilevel"/>
    <w:tmpl w:val="47561B68"/>
    <w:lvl w:ilvl="0" w:tplc="2AAC722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2D6A7E74"/>
    <w:multiLevelType w:val="hybridMultilevel"/>
    <w:tmpl w:val="93940AAC"/>
    <w:lvl w:ilvl="0" w:tplc="D6AE806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FC556DC"/>
    <w:multiLevelType w:val="hybridMultilevel"/>
    <w:tmpl w:val="05D64D78"/>
    <w:lvl w:ilvl="0" w:tplc="2AAC7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2A64EB1"/>
    <w:multiLevelType w:val="hybridMultilevel"/>
    <w:tmpl w:val="362CB0F2"/>
    <w:lvl w:ilvl="0" w:tplc="2AAC7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38122E3"/>
    <w:multiLevelType w:val="hybridMultilevel"/>
    <w:tmpl w:val="3B64F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3A947496"/>
    <w:multiLevelType w:val="hybridMultilevel"/>
    <w:tmpl w:val="D9648790"/>
    <w:lvl w:ilvl="0" w:tplc="2AAC72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B9635DD"/>
    <w:multiLevelType w:val="hybridMultilevel"/>
    <w:tmpl w:val="C6064C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81A555A"/>
    <w:multiLevelType w:val="hybridMultilevel"/>
    <w:tmpl w:val="4CFA61E6"/>
    <w:lvl w:ilvl="0" w:tplc="2AAC72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3A1984"/>
    <w:multiLevelType w:val="multilevel"/>
    <w:tmpl w:val="06343C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FAD62CD"/>
    <w:multiLevelType w:val="hybridMultilevel"/>
    <w:tmpl w:val="58AA075C"/>
    <w:lvl w:ilvl="0" w:tplc="CF964746">
      <w:start w:val="4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782842"/>
    <w:multiLevelType w:val="hybridMultilevel"/>
    <w:tmpl w:val="6A7EF26C"/>
    <w:lvl w:ilvl="0" w:tplc="2AAC72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AE4626"/>
    <w:multiLevelType w:val="hybridMultilevel"/>
    <w:tmpl w:val="EBBC3A10"/>
    <w:lvl w:ilvl="0" w:tplc="A260C08A">
      <w:start w:val="8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5D511CE"/>
    <w:multiLevelType w:val="hybridMultilevel"/>
    <w:tmpl w:val="9CE8F54E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5A623056"/>
    <w:multiLevelType w:val="hybridMultilevel"/>
    <w:tmpl w:val="43046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1B18BB"/>
    <w:multiLevelType w:val="hybridMultilevel"/>
    <w:tmpl w:val="F3387594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CF2E8E"/>
    <w:multiLevelType w:val="multilevel"/>
    <w:tmpl w:val="5A6413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13C185A"/>
    <w:multiLevelType w:val="hybridMultilevel"/>
    <w:tmpl w:val="FE186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300BF2"/>
    <w:multiLevelType w:val="hybridMultilevel"/>
    <w:tmpl w:val="0A34CB4A"/>
    <w:lvl w:ilvl="0" w:tplc="2AAC7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8361A69"/>
    <w:multiLevelType w:val="hybridMultilevel"/>
    <w:tmpl w:val="ED3E29EE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DD3DFD"/>
    <w:multiLevelType w:val="hybridMultilevel"/>
    <w:tmpl w:val="C47ED0AC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AC72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47B2B"/>
    <w:multiLevelType w:val="hybridMultilevel"/>
    <w:tmpl w:val="CF78E7DA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8C456F"/>
    <w:multiLevelType w:val="hybridMultilevel"/>
    <w:tmpl w:val="0896E084"/>
    <w:lvl w:ilvl="0" w:tplc="2AAC72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28C2FA5"/>
    <w:multiLevelType w:val="hybridMultilevel"/>
    <w:tmpl w:val="F6440F50"/>
    <w:lvl w:ilvl="0" w:tplc="AFF0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794868"/>
    <w:multiLevelType w:val="hybridMultilevel"/>
    <w:tmpl w:val="0D20CAD6"/>
    <w:lvl w:ilvl="0" w:tplc="13CE46E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9C1466A"/>
    <w:multiLevelType w:val="hybridMultilevel"/>
    <w:tmpl w:val="EEB059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1E1478"/>
    <w:multiLevelType w:val="hybridMultilevel"/>
    <w:tmpl w:val="74F44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3F2410"/>
    <w:multiLevelType w:val="hybridMultilevel"/>
    <w:tmpl w:val="60AE6112"/>
    <w:lvl w:ilvl="0" w:tplc="85769B04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A97387E"/>
    <w:multiLevelType w:val="hybridMultilevel"/>
    <w:tmpl w:val="B7C6DC50"/>
    <w:lvl w:ilvl="0" w:tplc="9272BA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AA43CF5"/>
    <w:multiLevelType w:val="hybridMultilevel"/>
    <w:tmpl w:val="FA74E8D2"/>
    <w:lvl w:ilvl="0" w:tplc="0C3A90D6">
      <w:start w:val="6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14"/>
  </w:num>
  <w:num w:numId="4">
    <w:abstractNumId w:val="46"/>
  </w:num>
  <w:num w:numId="5">
    <w:abstractNumId w:val="18"/>
  </w:num>
  <w:num w:numId="6">
    <w:abstractNumId w:val="26"/>
  </w:num>
  <w:num w:numId="7">
    <w:abstractNumId w:val="25"/>
  </w:num>
  <w:num w:numId="8">
    <w:abstractNumId w:val="28"/>
  </w:num>
  <w:num w:numId="9">
    <w:abstractNumId w:val="23"/>
  </w:num>
  <w:num w:numId="10">
    <w:abstractNumId w:val="43"/>
  </w:num>
  <w:num w:numId="11">
    <w:abstractNumId w:val="3"/>
  </w:num>
  <w:num w:numId="12">
    <w:abstractNumId w:val="29"/>
  </w:num>
  <w:num w:numId="13">
    <w:abstractNumId w:val="24"/>
  </w:num>
  <w:num w:numId="1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34"/>
  </w:num>
  <w:num w:numId="17">
    <w:abstractNumId w:val="39"/>
  </w:num>
  <w:num w:numId="18">
    <w:abstractNumId w:val="33"/>
  </w:num>
  <w:num w:numId="19">
    <w:abstractNumId w:val="36"/>
  </w:num>
  <w:num w:numId="20">
    <w:abstractNumId w:val="17"/>
  </w:num>
  <w:num w:numId="21">
    <w:abstractNumId w:val="42"/>
  </w:num>
  <w:num w:numId="22">
    <w:abstractNumId w:val="38"/>
  </w:num>
  <w:num w:numId="23">
    <w:abstractNumId w:val="37"/>
  </w:num>
  <w:num w:numId="24">
    <w:abstractNumId w:val="12"/>
  </w:num>
  <w:num w:numId="25">
    <w:abstractNumId w:val="32"/>
  </w:num>
  <w:num w:numId="26">
    <w:abstractNumId w:val="9"/>
  </w:num>
  <w:num w:numId="27">
    <w:abstractNumId w:val="1"/>
  </w:num>
  <w:num w:numId="28">
    <w:abstractNumId w:val="6"/>
  </w:num>
  <w:num w:numId="29">
    <w:abstractNumId w:val="16"/>
  </w:num>
  <w:num w:numId="30">
    <w:abstractNumId w:val="8"/>
  </w:num>
  <w:num w:numId="31">
    <w:abstractNumId w:val="20"/>
  </w:num>
  <w:num w:numId="32">
    <w:abstractNumId w:val="15"/>
  </w:num>
  <w:num w:numId="33">
    <w:abstractNumId w:val="19"/>
  </w:num>
  <w:num w:numId="34">
    <w:abstractNumId w:val="35"/>
  </w:num>
  <w:num w:numId="35">
    <w:abstractNumId w:val="0"/>
  </w:num>
  <w:num w:numId="36">
    <w:abstractNumId w:val="45"/>
  </w:num>
  <w:num w:numId="37">
    <w:abstractNumId w:val="10"/>
  </w:num>
  <w:num w:numId="38">
    <w:abstractNumId w:val="41"/>
  </w:num>
  <w:num w:numId="39">
    <w:abstractNumId w:val="11"/>
  </w:num>
  <w:num w:numId="40">
    <w:abstractNumId w:val="31"/>
  </w:num>
  <w:num w:numId="41">
    <w:abstractNumId w:val="2"/>
  </w:num>
  <w:num w:numId="42">
    <w:abstractNumId w:val="40"/>
  </w:num>
  <w:num w:numId="43">
    <w:abstractNumId w:val="30"/>
  </w:num>
  <w:num w:numId="44">
    <w:abstractNumId w:val="5"/>
  </w:num>
  <w:num w:numId="45">
    <w:abstractNumId w:val="7"/>
  </w:num>
  <w:num w:numId="46">
    <w:abstractNumId w:val="44"/>
  </w:num>
  <w:num w:numId="47">
    <w:abstractNumId w:val="13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2319b8d-d653-4ceb-9c36-a17f9a4ccdb9"/>
  </w:docVars>
  <w:rsids>
    <w:rsidRoot w:val="00D81973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C186C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0D23"/>
    <w:rsid w:val="00A5300C"/>
    <w:rsid w:val="00A7195B"/>
    <w:rsid w:val="00A77C8C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31B30"/>
    <w:rsid w:val="00D4042E"/>
    <w:rsid w:val="00D40638"/>
    <w:rsid w:val="00D81973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BBB111"/>
  <w15:docId w15:val="{1B8F75BC-80C1-4241-9111-2F72FD56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D8197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qFormat/>
    <w:rsid w:val="00D8197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7">
    <w:name w:val="heading 7"/>
    <w:basedOn w:val="a"/>
    <w:next w:val="a"/>
    <w:link w:val="70"/>
    <w:unhideWhenUsed/>
    <w:qFormat/>
    <w:rsid w:val="00D8197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qFormat/>
    <w:rsid w:val="00D81973"/>
    <w:pPr>
      <w:keepNext/>
      <w:widowControl w:val="0"/>
      <w:spacing w:before="240" w:after="60"/>
      <w:ind w:firstLine="851"/>
      <w:jc w:val="both"/>
      <w:outlineLvl w:val="7"/>
    </w:pPr>
    <w:rPr>
      <w:rFonts w:ascii="Arial" w:hAnsi="Arial"/>
      <w:snapToGrid w:val="0"/>
      <w:kern w:val="28"/>
      <w:sz w:val="24"/>
    </w:rPr>
  </w:style>
  <w:style w:type="paragraph" w:styleId="9">
    <w:name w:val="heading 9"/>
    <w:basedOn w:val="a"/>
    <w:next w:val="a"/>
    <w:link w:val="90"/>
    <w:qFormat/>
    <w:rsid w:val="00D81973"/>
    <w:pPr>
      <w:keepNext/>
      <w:widowControl w:val="0"/>
      <w:ind w:right="-567"/>
      <w:jc w:val="both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qFormat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A7219"/>
    <w:rPr>
      <w:rFonts w:ascii="Tahoma" w:eastAsia="Times New Roman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D81973"/>
    <w:rPr>
      <w:rFonts w:asciiTheme="minorHAnsi" w:eastAsiaTheme="minorEastAsia" w:hAnsiTheme="minorHAnsi" w:cstheme="minorBidi"/>
      <w:sz w:val="24"/>
      <w:szCs w:val="24"/>
    </w:rPr>
  </w:style>
  <w:style w:type="character" w:customStyle="1" w:styleId="10">
    <w:name w:val="Заголовок 1 Знак"/>
    <w:basedOn w:val="a0"/>
    <w:link w:val="1"/>
    <w:rsid w:val="00D81973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D81973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D81973"/>
    <w:rPr>
      <w:rFonts w:ascii="Arial" w:eastAsia="Times New Roman" w:hAnsi="Arial"/>
      <w:snapToGrid w:val="0"/>
      <w:kern w:val="28"/>
      <w:sz w:val="24"/>
    </w:rPr>
  </w:style>
  <w:style w:type="character" w:customStyle="1" w:styleId="90">
    <w:name w:val="Заголовок 9 Знак"/>
    <w:basedOn w:val="a0"/>
    <w:link w:val="9"/>
    <w:rsid w:val="00D81973"/>
    <w:rPr>
      <w:rFonts w:ascii="Times New Roman" w:eastAsia="Times New Roman" w:hAnsi="Times New Roman"/>
      <w:sz w:val="24"/>
    </w:rPr>
  </w:style>
  <w:style w:type="paragraph" w:styleId="a9">
    <w:name w:val="Body Text"/>
    <w:basedOn w:val="a"/>
    <w:link w:val="11"/>
    <w:rsid w:val="00D81973"/>
    <w:pPr>
      <w:jc w:val="both"/>
    </w:pPr>
    <w:rPr>
      <w:sz w:val="24"/>
    </w:rPr>
  </w:style>
  <w:style w:type="character" w:customStyle="1" w:styleId="aa">
    <w:name w:val="Основной текст Знак"/>
    <w:basedOn w:val="a0"/>
    <w:rsid w:val="00D81973"/>
    <w:rPr>
      <w:rFonts w:ascii="Times New Roman" w:eastAsia="Times New Roman" w:hAnsi="Times New Roman"/>
    </w:rPr>
  </w:style>
  <w:style w:type="character" w:customStyle="1" w:styleId="11">
    <w:name w:val="Основной текст Знак1"/>
    <w:link w:val="a9"/>
    <w:rsid w:val="00D81973"/>
    <w:rPr>
      <w:rFonts w:ascii="Times New Roman" w:eastAsia="Times New Roman" w:hAnsi="Times New Roman"/>
      <w:sz w:val="24"/>
    </w:rPr>
  </w:style>
  <w:style w:type="paragraph" w:styleId="ab">
    <w:name w:val="Body Text Indent"/>
    <w:basedOn w:val="a"/>
    <w:link w:val="ac"/>
    <w:uiPriority w:val="99"/>
    <w:rsid w:val="00D8197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D81973"/>
    <w:rPr>
      <w:rFonts w:ascii="Times New Roman" w:eastAsia="Times New Roman" w:hAnsi="Times New Roman"/>
    </w:rPr>
  </w:style>
  <w:style w:type="paragraph" w:styleId="21">
    <w:name w:val="Body Text Indent 2"/>
    <w:basedOn w:val="a"/>
    <w:link w:val="210"/>
    <w:uiPriority w:val="99"/>
    <w:rsid w:val="00D8197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rsid w:val="00D81973"/>
    <w:rPr>
      <w:rFonts w:ascii="Times New Roman" w:eastAsia="Times New Roman" w:hAnsi="Times New Roman"/>
    </w:rPr>
  </w:style>
  <w:style w:type="character" w:customStyle="1" w:styleId="210">
    <w:name w:val="Основной текст с отступом 2 Знак1"/>
    <w:link w:val="21"/>
    <w:uiPriority w:val="99"/>
    <w:rsid w:val="00D81973"/>
    <w:rPr>
      <w:rFonts w:ascii="Times New Roman" w:eastAsia="Times New Roman" w:hAnsi="Times New Roman"/>
    </w:rPr>
  </w:style>
  <w:style w:type="character" w:customStyle="1" w:styleId="100">
    <w:name w:val="Знак Знак10"/>
    <w:rsid w:val="00D81973"/>
    <w:rPr>
      <w:lang w:val="ru-RU" w:eastAsia="ru-RU" w:bidi="ar-SA"/>
    </w:rPr>
  </w:style>
  <w:style w:type="paragraph" w:styleId="31">
    <w:name w:val="Body Text 3"/>
    <w:basedOn w:val="a"/>
    <w:link w:val="32"/>
    <w:uiPriority w:val="99"/>
    <w:rsid w:val="00D8197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D81973"/>
    <w:rPr>
      <w:rFonts w:ascii="Times New Roman" w:eastAsia="Times New Roman" w:hAnsi="Times New Roman"/>
      <w:sz w:val="16"/>
      <w:szCs w:val="16"/>
    </w:rPr>
  </w:style>
  <w:style w:type="paragraph" w:styleId="ad">
    <w:name w:val="Normal (Web)"/>
    <w:basedOn w:val="a"/>
    <w:uiPriority w:val="99"/>
    <w:rsid w:val="00D81973"/>
    <w:pPr>
      <w:spacing w:before="100" w:beforeAutospacing="1" w:after="100" w:afterAutospacing="1"/>
    </w:pPr>
    <w:rPr>
      <w:sz w:val="24"/>
      <w:szCs w:val="24"/>
    </w:rPr>
  </w:style>
  <w:style w:type="paragraph" w:customStyle="1" w:styleId="basictext">
    <w:name w:val="basic_text"/>
    <w:basedOn w:val="a"/>
    <w:rsid w:val="00D81973"/>
    <w:pPr>
      <w:spacing w:after="100" w:afterAutospacing="1"/>
      <w:ind w:right="85" w:firstLine="567"/>
      <w:jc w:val="both"/>
      <w:textAlignment w:val="baseline"/>
    </w:pPr>
    <w:rPr>
      <w:rFonts w:ascii="Arial" w:hAnsi="Arial" w:cs="Arial"/>
      <w:color w:val="003366"/>
    </w:rPr>
  </w:style>
  <w:style w:type="paragraph" w:customStyle="1" w:styleId="211">
    <w:name w:val="Основной текст 21"/>
    <w:basedOn w:val="a"/>
    <w:rsid w:val="00D81973"/>
    <w:pPr>
      <w:ind w:firstLine="720"/>
      <w:jc w:val="both"/>
    </w:pPr>
    <w:rPr>
      <w:sz w:val="24"/>
    </w:rPr>
  </w:style>
  <w:style w:type="character" w:styleId="ae">
    <w:name w:val="footnote reference"/>
    <w:rsid w:val="00D81973"/>
    <w:rPr>
      <w:vertAlign w:val="superscript"/>
    </w:rPr>
  </w:style>
  <w:style w:type="paragraph" w:styleId="af">
    <w:name w:val="footnote text"/>
    <w:basedOn w:val="a"/>
    <w:link w:val="af0"/>
    <w:rsid w:val="00D81973"/>
  </w:style>
  <w:style w:type="character" w:customStyle="1" w:styleId="af0">
    <w:name w:val="Текст сноски Знак"/>
    <w:basedOn w:val="a0"/>
    <w:link w:val="af"/>
    <w:rsid w:val="00D81973"/>
    <w:rPr>
      <w:rFonts w:ascii="Times New Roman" w:eastAsia="Times New Roman" w:hAnsi="Times New Roman"/>
    </w:rPr>
  </w:style>
  <w:style w:type="paragraph" w:customStyle="1" w:styleId="af1">
    <w:name w:val="Объект"/>
    <w:basedOn w:val="a"/>
    <w:rsid w:val="00D81973"/>
    <w:pPr>
      <w:keepNext/>
      <w:spacing w:before="120" w:after="120"/>
      <w:jc w:val="center"/>
    </w:pPr>
    <w:rPr>
      <w:sz w:val="24"/>
      <w:szCs w:val="24"/>
    </w:rPr>
  </w:style>
  <w:style w:type="character" w:customStyle="1" w:styleId="FontStyle12">
    <w:name w:val="Font Style12"/>
    <w:rsid w:val="00D81973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D8197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"/>
    <w:rsid w:val="00D81973"/>
    <w:pPr>
      <w:widowControl w:val="0"/>
      <w:autoSpaceDE w:val="0"/>
      <w:autoSpaceDN w:val="0"/>
      <w:adjustRightInd w:val="0"/>
      <w:spacing w:line="278" w:lineRule="exact"/>
      <w:ind w:firstLine="437"/>
    </w:pPr>
    <w:rPr>
      <w:sz w:val="24"/>
      <w:szCs w:val="24"/>
    </w:rPr>
  </w:style>
  <w:style w:type="paragraph" w:customStyle="1" w:styleId="Style4">
    <w:name w:val="Style4"/>
    <w:basedOn w:val="a"/>
    <w:rsid w:val="00D81973"/>
    <w:pPr>
      <w:widowControl w:val="0"/>
      <w:autoSpaceDE w:val="0"/>
      <w:autoSpaceDN w:val="0"/>
      <w:adjustRightInd w:val="0"/>
      <w:spacing w:line="254" w:lineRule="exact"/>
    </w:pPr>
    <w:rPr>
      <w:sz w:val="24"/>
      <w:szCs w:val="24"/>
    </w:rPr>
  </w:style>
  <w:style w:type="paragraph" w:customStyle="1" w:styleId="Style5">
    <w:name w:val="Style5"/>
    <w:basedOn w:val="a"/>
    <w:rsid w:val="00D8197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rsid w:val="00D81973"/>
    <w:pPr>
      <w:widowControl w:val="0"/>
      <w:autoSpaceDE w:val="0"/>
      <w:autoSpaceDN w:val="0"/>
      <w:adjustRightInd w:val="0"/>
      <w:spacing w:line="283" w:lineRule="exact"/>
    </w:pPr>
    <w:rPr>
      <w:sz w:val="24"/>
      <w:szCs w:val="24"/>
    </w:rPr>
  </w:style>
  <w:style w:type="paragraph" w:customStyle="1" w:styleId="Style8">
    <w:name w:val="Style8"/>
    <w:basedOn w:val="a"/>
    <w:rsid w:val="00D81973"/>
    <w:pPr>
      <w:widowControl w:val="0"/>
      <w:autoSpaceDE w:val="0"/>
      <w:autoSpaceDN w:val="0"/>
      <w:adjustRightInd w:val="0"/>
      <w:spacing w:line="281" w:lineRule="exact"/>
    </w:pPr>
    <w:rPr>
      <w:sz w:val="24"/>
      <w:szCs w:val="24"/>
    </w:rPr>
  </w:style>
  <w:style w:type="character" w:customStyle="1" w:styleId="FontStyle11">
    <w:name w:val="Font Style11"/>
    <w:rsid w:val="00D8197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sid w:val="00D8197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D8197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9">
    <w:name w:val="Style9"/>
    <w:basedOn w:val="a"/>
    <w:rsid w:val="00D8197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4">
    <w:name w:val="Font Style14"/>
    <w:rsid w:val="00D81973"/>
    <w:rPr>
      <w:rFonts w:ascii="Times New Roman" w:hAnsi="Times New Roman" w:cs="Times New Roman"/>
      <w:i/>
      <w:iCs/>
      <w:sz w:val="70"/>
      <w:szCs w:val="70"/>
    </w:rPr>
  </w:style>
  <w:style w:type="character" w:customStyle="1" w:styleId="FontStyle15">
    <w:name w:val="Font Style15"/>
    <w:rsid w:val="00D81973"/>
    <w:rPr>
      <w:rFonts w:ascii="Times New Roman" w:hAnsi="Times New Roman" w:cs="Times New Roman"/>
      <w:b/>
      <w:bCs/>
      <w:sz w:val="22"/>
      <w:szCs w:val="22"/>
    </w:rPr>
  </w:style>
  <w:style w:type="paragraph" w:styleId="af2">
    <w:name w:val="Plain Text"/>
    <w:basedOn w:val="a"/>
    <w:link w:val="af3"/>
    <w:uiPriority w:val="99"/>
    <w:rsid w:val="00D81973"/>
    <w:rPr>
      <w:rFonts w:ascii="Courier New" w:hAnsi="Courier New"/>
    </w:rPr>
  </w:style>
  <w:style w:type="character" w:customStyle="1" w:styleId="af3">
    <w:name w:val="Текст Знак"/>
    <w:basedOn w:val="a0"/>
    <w:link w:val="af2"/>
    <w:uiPriority w:val="99"/>
    <w:rsid w:val="00D81973"/>
    <w:rPr>
      <w:rFonts w:ascii="Courier New" w:eastAsia="Times New Roman" w:hAnsi="Courier New"/>
    </w:rPr>
  </w:style>
  <w:style w:type="character" w:styleId="af4">
    <w:name w:val="Hyperlink"/>
    <w:uiPriority w:val="99"/>
    <w:rsid w:val="00D81973"/>
    <w:rPr>
      <w:color w:val="0000FF"/>
      <w:u w:val="single"/>
    </w:rPr>
  </w:style>
  <w:style w:type="paragraph" w:styleId="33">
    <w:name w:val="toc 3"/>
    <w:basedOn w:val="a"/>
    <w:next w:val="a"/>
    <w:autoRedefine/>
    <w:uiPriority w:val="39"/>
    <w:rsid w:val="00D81973"/>
    <w:pPr>
      <w:tabs>
        <w:tab w:val="right" w:leader="dot" w:pos="9356"/>
      </w:tabs>
    </w:pPr>
    <w:rPr>
      <w:noProof/>
      <w:sz w:val="28"/>
      <w:szCs w:val="28"/>
    </w:rPr>
  </w:style>
  <w:style w:type="paragraph" w:styleId="23">
    <w:name w:val="Body Text 2"/>
    <w:basedOn w:val="a"/>
    <w:link w:val="24"/>
    <w:uiPriority w:val="99"/>
    <w:rsid w:val="00D81973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81973"/>
    <w:rPr>
      <w:rFonts w:ascii="Times New Roman" w:eastAsia="Times New Roman" w:hAnsi="Times New Roman"/>
    </w:rPr>
  </w:style>
  <w:style w:type="paragraph" w:customStyle="1" w:styleId="12">
    <w:name w:val="Основной текст1"/>
    <w:basedOn w:val="a"/>
    <w:rsid w:val="00D81973"/>
    <w:pPr>
      <w:spacing w:before="60" w:after="60"/>
      <w:ind w:firstLine="567"/>
      <w:jc w:val="both"/>
    </w:pPr>
    <w:rPr>
      <w:rFonts w:ascii="Arial" w:hAnsi="Arial" w:cs="Arial"/>
      <w:sz w:val="22"/>
      <w:szCs w:val="22"/>
      <w:lang w:val="en-US"/>
    </w:rPr>
  </w:style>
  <w:style w:type="paragraph" w:styleId="af5">
    <w:name w:val="Body Text First Indent"/>
    <w:basedOn w:val="a9"/>
    <w:link w:val="af6"/>
    <w:rsid w:val="00D81973"/>
    <w:pPr>
      <w:spacing w:after="120"/>
      <w:ind w:firstLine="210"/>
      <w:jc w:val="left"/>
    </w:pPr>
    <w:rPr>
      <w:szCs w:val="24"/>
    </w:rPr>
  </w:style>
  <w:style w:type="character" w:customStyle="1" w:styleId="af6">
    <w:name w:val="Красная строка Знак"/>
    <w:basedOn w:val="aa"/>
    <w:link w:val="af5"/>
    <w:rsid w:val="00D81973"/>
    <w:rPr>
      <w:rFonts w:ascii="Times New Roman" w:eastAsia="Times New Roman" w:hAnsi="Times New Roman"/>
      <w:sz w:val="24"/>
      <w:szCs w:val="24"/>
    </w:rPr>
  </w:style>
  <w:style w:type="paragraph" w:customStyle="1" w:styleId="Heading">
    <w:name w:val="Heading"/>
    <w:rsid w:val="00D8197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34">
    <w:name w:val="Body Text Indent 3"/>
    <w:basedOn w:val="a"/>
    <w:link w:val="35"/>
    <w:uiPriority w:val="99"/>
    <w:rsid w:val="00D81973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D81973"/>
    <w:rPr>
      <w:rFonts w:ascii="Times New Roman" w:eastAsia="Times New Roman" w:hAnsi="Times New Roman"/>
      <w:sz w:val="16"/>
      <w:szCs w:val="16"/>
    </w:rPr>
  </w:style>
  <w:style w:type="paragraph" w:styleId="25">
    <w:name w:val="toc 2"/>
    <w:basedOn w:val="a"/>
    <w:next w:val="a"/>
    <w:autoRedefine/>
    <w:uiPriority w:val="39"/>
    <w:rsid w:val="00D81973"/>
    <w:pPr>
      <w:tabs>
        <w:tab w:val="right" w:leader="dot" w:pos="9356"/>
      </w:tabs>
    </w:pPr>
    <w:rPr>
      <w:noProof/>
      <w:color w:val="00B0F0"/>
      <w:sz w:val="28"/>
    </w:rPr>
  </w:style>
  <w:style w:type="paragraph" w:customStyle="1" w:styleId="26">
    <w:name w:val="заголовок 2"/>
    <w:basedOn w:val="a"/>
    <w:next w:val="a"/>
    <w:rsid w:val="00D81973"/>
    <w:pPr>
      <w:keepNext/>
      <w:ind w:right="-908"/>
      <w:jc w:val="center"/>
    </w:pPr>
    <w:rPr>
      <w:sz w:val="26"/>
    </w:rPr>
  </w:style>
  <w:style w:type="paragraph" w:styleId="af7">
    <w:name w:val="Document Map"/>
    <w:basedOn w:val="a"/>
    <w:link w:val="af8"/>
    <w:rsid w:val="00D81973"/>
    <w:pPr>
      <w:widowControl w:val="0"/>
      <w:shd w:val="clear" w:color="auto" w:fill="000080"/>
    </w:pPr>
    <w:rPr>
      <w:rFonts w:ascii="Tahoma" w:hAnsi="Tahoma"/>
    </w:rPr>
  </w:style>
  <w:style w:type="character" w:customStyle="1" w:styleId="af8">
    <w:name w:val="Схема документа Знак"/>
    <w:basedOn w:val="a0"/>
    <w:link w:val="af7"/>
    <w:rsid w:val="00D81973"/>
    <w:rPr>
      <w:rFonts w:ascii="Tahoma" w:eastAsia="Times New Roman" w:hAnsi="Tahoma"/>
      <w:shd w:val="clear" w:color="auto" w:fill="000080"/>
    </w:rPr>
  </w:style>
  <w:style w:type="paragraph" w:styleId="af9">
    <w:name w:val="annotation text"/>
    <w:basedOn w:val="a"/>
    <w:link w:val="afa"/>
    <w:rsid w:val="00D81973"/>
    <w:pPr>
      <w:widowControl w:val="0"/>
    </w:pPr>
  </w:style>
  <w:style w:type="character" w:customStyle="1" w:styleId="afa">
    <w:name w:val="Текст примечания Знак"/>
    <w:basedOn w:val="a0"/>
    <w:link w:val="af9"/>
    <w:rsid w:val="00D81973"/>
    <w:rPr>
      <w:rFonts w:ascii="Times New Roman" w:eastAsia="Times New Roman" w:hAnsi="Times New Roman"/>
    </w:rPr>
  </w:style>
  <w:style w:type="paragraph" w:styleId="afb">
    <w:name w:val="annotation subject"/>
    <w:basedOn w:val="af9"/>
    <w:next w:val="af9"/>
    <w:link w:val="afc"/>
    <w:rsid w:val="00D81973"/>
    <w:rPr>
      <w:b/>
      <w:bCs/>
    </w:rPr>
  </w:style>
  <w:style w:type="character" w:customStyle="1" w:styleId="afc">
    <w:name w:val="Тема примечания Знак"/>
    <w:basedOn w:val="afa"/>
    <w:link w:val="afb"/>
    <w:rsid w:val="00D81973"/>
    <w:rPr>
      <w:rFonts w:ascii="Times New Roman" w:eastAsia="Times New Roman" w:hAnsi="Times New Roman"/>
      <w:b/>
      <w:bCs/>
    </w:rPr>
  </w:style>
  <w:style w:type="character" w:customStyle="1" w:styleId="FontStyle16">
    <w:name w:val="Font Style16"/>
    <w:rsid w:val="00D81973"/>
    <w:rPr>
      <w:rFonts w:ascii="Times New Roman" w:hAnsi="Times New Roman" w:cs="Times New Roman" w:hint="default"/>
      <w:b/>
      <w:bCs/>
      <w:sz w:val="22"/>
      <w:szCs w:val="22"/>
      <w:lang w:val="en-US" w:eastAsia="en-US" w:bidi="ar-SA"/>
    </w:rPr>
  </w:style>
  <w:style w:type="paragraph" w:customStyle="1" w:styleId="afd">
    <w:name w:val="Знак Знак Знак Знак"/>
    <w:basedOn w:val="a"/>
    <w:rsid w:val="00D81973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BodyTextChar">
    <w:name w:val="Body Text Char"/>
    <w:locked/>
    <w:rsid w:val="00D81973"/>
    <w:rPr>
      <w:sz w:val="24"/>
      <w:lang w:val="ru-RU" w:eastAsia="ru-RU" w:bidi="ar-SA"/>
    </w:rPr>
  </w:style>
  <w:style w:type="character" w:customStyle="1" w:styleId="200">
    <w:name w:val="Знак Знак20"/>
    <w:locked/>
    <w:rsid w:val="00D81973"/>
    <w:rPr>
      <w:b/>
      <w:sz w:val="24"/>
      <w:lang w:val="ru-RU" w:eastAsia="ru-RU" w:bidi="ar-SA"/>
    </w:rPr>
  </w:style>
  <w:style w:type="character" w:customStyle="1" w:styleId="14">
    <w:name w:val="Знак Знак14"/>
    <w:locked/>
    <w:rsid w:val="00D81973"/>
    <w:rPr>
      <w:sz w:val="24"/>
      <w:lang w:val="ru-RU" w:eastAsia="ru-RU" w:bidi="ar-SA"/>
    </w:rPr>
  </w:style>
  <w:style w:type="paragraph" w:customStyle="1" w:styleId="13">
    <w:name w:val="1 Знак"/>
    <w:basedOn w:val="a"/>
    <w:rsid w:val="00D8197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uiPriority w:val="99"/>
    <w:rsid w:val="00D81973"/>
  </w:style>
  <w:style w:type="paragraph" w:styleId="aff">
    <w:name w:val="No Spacing"/>
    <w:link w:val="aff0"/>
    <w:uiPriority w:val="1"/>
    <w:qFormat/>
    <w:rsid w:val="00D81973"/>
    <w:rPr>
      <w:rFonts w:ascii="Century Schoolbook" w:eastAsia="Century Schoolbook" w:hAnsi="Century Schoolbook"/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locked/>
    <w:rsid w:val="00D81973"/>
    <w:rPr>
      <w:rFonts w:ascii="Century Schoolbook" w:eastAsia="Century Schoolbook" w:hAnsi="Century Schoolbook"/>
      <w:sz w:val="22"/>
      <w:szCs w:val="22"/>
      <w:lang w:eastAsia="en-US"/>
    </w:rPr>
  </w:style>
  <w:style w:type="paragraph" w:customStyle="1" w:styleId="ConsNormal">
    <w:name w:val="ConsNormal"/>
    <w:rsid w:val="00D8197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</w:rPr>
  </w:style>
  <w:style w:type="character" w:styleId="aff1">
    <w:name w:val="annotation reference"/>
    <w:rsid w:val="00D81973"/>
    <w:rPr>
      <w:sz w:val="16"/>
      <w:szCs w:val="16"/>
    </w:rPr>
  </w:style>
  <w:style w:type="character" w:customStyle="1" w:styleId="6">
    <w:name w:val="Знак Знак6"/>
    <w:locked/>
    <w:rsid w:val="00D81973"/>
    <w:rPr>
      <w:lang w:val="ru-RU" w:eastAsia="ru-RU" w:bidi="ar-SA"/>
    </w:rPr>
  </w:style>
  <w:style w:type="character" w:customStyle="1" w:styleId="15">
    <w:name w:val="Основной текст с отступом Знак1"/>
    <w:locked/>
    <w:rsid w:val="00D81973"/>
    <w:rPr>
      <w:lang w:val="ru-RU" w:eastAsia="ru-RU" w:bidi="ar-SA"/>
    </w:rPr>
  </w:style>
  <w:style w:type="paragraph" w:customStyle="1" w:styleId="140">
    <w:name w:val="Стиль14"/>
    <w:basedOn w:val="a"/>
    <w:rsid w:val="00D81973"/>
    <w:pPr>
      <w:spacing w:before="100" w:beforeAutospacing="1" w:after="100" w:afterAutospacing="1"/>
      <w:ind w:firstLine="720"/>
      <w:jc w:val="both"/>
    </w:pPr>
    <w:rPr>
      <w:sz w:val="28"/>
    </w:rPr>
  </w:style>
  <w:style w:type="paragraph" w:styleId="16">
    <w:name w:val="toc 1"/>
    <w:basedOn w:val="a"/>
    <w:next w:val="a"/>
    <w:autoRedefine/>
    <w:uiPriority w:val="39"/>
    <w:rsid w:val="00D81973"/>
    <w:pPr>
      <w:tabs>
        <w:tab w:val="right" w:leader="dot" w:pos="9911"/>
      </w:tabs>
      <w:ind w:firstLine="567"/>
    </w:pPr>
    <w:rPr>
      <w:sz w:val="28"/>
    </w:rPr>
  </w:style>
  <w:style w:type="paragraph" w:customStyle="1" w:styleId="headertext">
    <w:name w:val="headertext"/>
    <w:rsid w:val="00D8197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17">
    <w:name w:val="Без интервала1"/>
    <w:rsid w:val="00D81973"/>
    <w:rPr>
      <w:rFonts w:eastAsia="Times New Roman"/>
      <w:sz w:val="22"/>
      <w:szCs w:val="22"/>
      <w:lang w:eastAsia="en-US"/>
    </w:rPr>
  </w:style>
  <w:style w:type="paragraph" w:customStyle="1" w:styleId="formattext">
    <w:name w:val="formattext"/>
    <w:rsid w:val="00D81973"/>
    <w:pPr>
      <w:widowControl w:val="0"/>
      <w:autoSpaceDE w:val="0"/>
      <w:autoSpaceDN w:val="0"/>
      <w:adjustRightInd w:val="0"/>
    </w:pPr>
    <w:rPr>
      <w:rFonts w:ascii="Times New Roman" w:hAnsi="Times New Roman"/>
      <w:sz w:val="18"/>
      <w:szCs w:val="18"/>
    </w:rPr>
  </w:style>
  <w:style w:type="paragraph" w:customStyle="1" w:styleId="030">
    <w:name w:val="Стиль Личные сведения + Справа:  0 см Перед:  3 пт После:  0 пт ..."/>
    <w:basedOn w:val="a"/>
    <w:rsid w:val="00D81973"/>
    <w:pPr>
      <w:numPr>
        <w:numId w:val="2"/>
      </w:numPr>
      <w:spacing w:after="120" w:line="360" w:lineRule="auto"/>
      <w:jc w:val="both"/>
    </w:pPr>
    <w:rPr>
      <w:sz w:val="24"/>
      <w:szCs w:val="24"/>
    </w:rPr>
  </w:style>
  <w:style w:type="paragraph" w:customStyle="1" w:styleId="110">
    <w:name w:val="Без интервала11"/>
    <w:uiPriority w:val="99"/>
    <w:rsid w:val="00D81973"/>
    <w:rPr>
      <w:rFonts w:eastAsia="Times New Roman" w:cs="Calibri"/>
      <w:sz w:val="22"/>
      <w:szCs w:val="22"/>
      <w:lang w:eastAsia="en-US"/>
    </w:rPr>
  </w:style>
  <w:style w:type="paragraph" w:styleId="aff2">
    <w:name w:val="List Paragraph"/>
    <w:basedOn w:val="a"/>
    <w:link w:val="aff3"/>
    <w:uiPriority w:val="34"/>
    <w:qFormat/>
    <w:rsid w:val="00D81973"/>
    <w:pPr>
      <w:ind w:left="720"/>
      <w:contextualSpacing/>
    </w:pPr>
    <w:rPr>
      <w:sz w:val="24"/>
      <w:szCs w:val="24"/>
    </w:rPr>
  </w:style>
  <w:style w:type="character" w:customStyle="1" w:styleId="aff3">
    <w:name w:val="Абзац списка Знак"/>
    <w:link w:val="aff2"/>
    <w:uiPriority w:val="34"/>
    <w:locked/>
    <w:rsid w:val="00D81973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D81973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aff4">
    <w:name w:val="МОН"/>
    <w:basedOn w:val="a"/>
    <w:rsid w:val="00D81973"/>
    <w:pPr>
      <w:spacing w:line="360" w:lineRule="auto"/>
      <w:ind w:firstLine="709"/>
      <w:jc w:val="both"/>
    </w:pPr>
    <w:rPr>
      <w:sz w:val="28"/>
    </w:rPr>
  </w:style>
  <w:style w:type="paragraph" w:customStyle="1" w:styleId="18">
    <w:name w:val="Абзац списка1"/>
    <w:basedOn w:val="a"/>
    <w:rsid w:val="00D81973"/>
    <w:pPr>
      <w:ind w:left="708"/>
    </w:pPr>
    <w:rPr>
      <w:sz w:val="24"/>
      <w:szCs w:val="24"/>
    </w:rPr>
  </w:style>
  <w:style w:type="paragraph" w:customStyle="1" w:styleId="ConsPlusNormal">
    <w:name w:val="ConsPlusNormal"/>
    <w:link w:val="ConsPlusNormal0"/>
    <w:rsid w:val="00D8197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D81973"/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D81973"/>
  </w:style>
  <w:style w:type="paragraph" w:styleId="aff5">
    <w:name w:val="Title"/>
    <w:basedOn w:val="a"/>
    <w:link w:val="aff6"/>
    <w:qFormat/>
    <w:rsid w:val="00D81973"/>
    <w:pPr>
      <w:jc w:val="center"/>
    </w:pPr>
    <w:rPr>
      <w:sz w:val="28"/>
      <w:szCs w:val="28"/>
    </w:rPr>
  </w:style>
  <w:style w:type="character" w:customStyle="1" w:styleId="aff6">
    <w:name w:val="Заголовок Знак"/>
    <w:basedOn w:val="a0"/>
    <w:link w:val="aff5"/>
    <w:rsid w:val="00D81973"/>
    <w:rPr>
      <w:rFonts w:ascii="Times New Roman" w:eastAsia="Times New Roman" w:hAnsi="Times New Roman"/>
      <w:sz w:val="28"/>
      <w:szCs w:val="28"/>
    </w:rPr>
  </w:style>
  <w:style w:type="paragraph" w:customStyle="1" w:styleId="Default">
    <w:name w:val="Default"/>
    <w:rsid w:val="00D81973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aff7">
    <w:name w:val="Strong"/>
    <w:uiPriority w:val="22"/>
    <w:qFormat/>
    <w:rsid w:val="00D81973"/>
    <w:rPr>
      <w:b/>
      <w:bCs/>
    </w:rPr>
  </w:style>
  <w:style w:type="paragraph" w:customStyle="1" w:styleId="19">
    <w:name w:val="Таб1"/>
    <w:basedOn w:val="a"/>
    <w:link w:val="1Char"/>
    <w:qFormat/>
    <w:rsid w:val="00D81973"/>
    <w:pPr>
      <w:jc w:val="both"/>
    </w:pPr>
    <w:rPr>
      <w:sz w:val="28"/>
      <w:szCs w:val="24"/>
    </w:rPr>
  </w:style>
  <w:style w:type="character" w:customStyle="1" w:styleId="1Char">
    <w:name w:val="Таб1 Char"/>
    <w:link w:val="19"/>
    <w:rsid w:val="00D81973"/>
    <w:rPr>
      <w:rFonts w:ascii="Times New Roman" w:eastAsia="Times New Roman" w:hAnsi="Times New Roman"/>
      <w:sz w:val="28"/>
      <w:szCs w:val="24"/>
    </w:rPr>
  </w:style>
  <w:style w:type="character" w:customStyle="1" w:styleId="aff8">
    <w:name w:val="Основной текст_"/>
    <w:link w:val="27"/>
    <w:rsid w:val="00D81973"/>
    <w:rPr>
      <w:spacing w:val="1"/>
      <w:sz w:val="21"/>
      <w:szCs w:val="21"/>
      <w:shd w:val="clear" w:color="auto" w:fill="FFFFFF"/>
    </w:rPr>
  </w:style>
  <w:style w:type="paragraph" w:customStyle="1" w:styleId="27">
    <w:name w:val="Основной текст2"/>
    <w:basedOn w:val="a"/>
    <w:link w:val="aff8"/>
    <w:rsid w:val="00D81973"/>
    <w:pPr>
      <w:widowControl w:val="0"/>
      <w:shd w:val="clear" w:color="auto" w:fill="FFFFFF"/>
      <w:spacing w:line="269" w:lineRule="exact"/>
      <w:jc w:val="both"/>
    </w:pPr>
    <w:rPr>
      <w:rFonts w:ascii="Calibri" w:eastAsia="Calibri" w:hAnsi="Calibri"/>
      <w:spacing w:val="1"/>
      <w:sz w:val="21"/>
      <w:szCs w:val="21"/>
    </w:rPr>
  </w:style>
  <w:style w:type="character" w:customStyle="1" w:styleId="aff9">
    <w:name w:val="Основной текст + Полужирный"/>
    <w:rsid w:val="00D81973"/>
    <w:rPr>
      <w:rFonts w:ascii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D81973"/>
    <w:pPr>
      <w:widowControl w:val="0"/>
      <w:shd w:val="clear" w:color="auto" w:fill="FFFFFF"/>
      <w:spacing w:line="0" w:lineRule="atLeast"/>
    </w:pPr>
    <w:rPr>
      <w:color w:val="000000"/>
      <w:spacing w:val="2"/>
      <w:sz w:val="24"/>
      <w:szCs w:val="24"/>
      <w:lang w:bidi="ru-RU"/>
    </w:rPr>
  </w:style>
  <w:style w:type="character" w:customStyle="1" w:styleId="101">
    <w:name w:val="Основной текст (10)_"/>
    <w:rsid w:val="00D819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102">
    <w:name w:val="Основной текст (10)"/>
    <w:rsid w:val="00D819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a">
    <w:name w:val="Обычный1"/>
    <w:rsid w:val="00D81973"/>
    <w:rPr>
      <w:rFonts w:ascii="Times New Roman" w:eastAsia="Times New Roman" w:hAnsi="Times New Roman"/>
    </w:rPr>
  </w:style>
  <w:style w:type="character" w:customStyle="1" w:styleId="37">
    <w:name w:val="Основной текст (3)_"/>
    <w:link w:val="38"/>
    <w:rsid w:val="00D81973"/>
    <w:rPr>
      <w:rFonts w:eastAsia="Times New Roman"/>
      <w:shd w:val="clear" w:color="auto" w:fill="FFFFFF"/>
    </w:rPr>
  </w:style>
  <w:style w:type="paragraph" w:customStyle="1" w:styleId="38">
    <w:name w:val="Основной текст (3)"/>
    <w:basedOn w:val="a"/>
    <w:link w:val="37"/>
    <w:rsid w:val="00D81973"/>
    <w:pPr>
      <w:widowControl w:val="0"/>
      <w:shd w:val="clear" w:color="auto" w:fill="FFFFFF"/>
      <w:spacing w:line="317" w:lineRule="exact"/>
      <w:jc w:val="right"/>
    </w:pPr>
    <w:rPr>
      <w:rFonts w:ascii="Calibri" w:hAnsi="Calibri"/>
    </w:rPr>
  </w:style>
  <w:style w:type="paragraph" w:customStyle="1" w:styleId="font5">
    <w:name w:val="font5"/>
    <w:basedOn w:val="a"/>
    <w:rsid w:val="00D81973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D81973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0">
    <w:name w:val="xl70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D81973"/>
    <w:pP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D81973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D81973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D81973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8">
    <w:name w:val="xl88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9">
    <w:name w:val="xl89"/>
    <w:basedOn w:val="a"/>
    <w:rsid w:val="00D81973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D819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D819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D819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D819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D819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D819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D819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D819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D81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ffa">
    <w:name w:val="Emphasis"/>
    <w:uiPriority w:val="20"/>
    <w:qFormat/>
    <w:rsid w:val="00D81973"/>
    <w:rPr>
      <w:i/>
      <w:iCs/>
    </w:rPr>
  </w:style>
  <w:style w:type="character" w:customStyle="1" w:styleId="CharStyle3">
    <w:name w:val="Char Style 3"/>
    <w:link w:val="Style20"/>
    <w:uiPriority w:val="99"/>
    <w:rsid w:val="00D81973"/>
    <w:rPr>
      <w:sz w:val="27"/>
      <w:szCs w:val="27"/>
      <w:shd w:val="clear" w:color="auto" w:fill="FFFFFF"/>
    </w:rPr>
  </w:style>
  <w:style w:type="paragraph" w:customStyle="1" w:styleId="Style20">
    <w:name w:val="Style 2"/>
    <w:basedOn w:val="a"/>
    <w:link w:val="CharStyle3"/>
    <w:uiPriority w:val="99"/>
    <w:rsid w:val="00D81973"/>
    <w:pPr>
      <w:widowControl w:val="0"/>
      <w:shd w:val="clear" w:color="auto" w:fill="FFFFFF"/>
      <w:spacing w:line="317" w:lineRule="exact"/>
    </w:pPr>
    <w:rPr>
      <w:rFonts w:ascii="Calibri" w:eastAsia="Calibri" w:hAnsi="Calibri"/>
      <w:sz w:val="27"/>
      <w:szCs w:val="27"/>
    </w:rPr>
  </w:style>
  <w:style w:type="character" w:customStyle="1" w:styleId="CharStyle19">
    <w:name w:val="Char Style 19"/>
    <w:link w:val="Style18"/>
    <w:uiPriority w:val="99"/>
    <w:rsid w:val="00D81973"/>
    <w:rPr>
      <w:sz w:val="27"/>
      <w:szCs w:val="27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D81973"/>
    <w:pPr>
      <w:widowControl w:val="0"/>
      <w:shd w:val="clear" w:color="auto" w:fill="FFFFFF"/>
      <w:spacing w:line="317" w:lineRule="exact"/>
      <w:jc w:val="center"/>
    </w:pPr>
    <w:rPr>
      <w:rFonts w:ascii="Calibri" w:eastAsia="Calibri" w:hAnsi="Calibri"/>
      <w:sz w:val="27"/>
      <w:szCs w:val="27"/>
    </w:rPr>
  </w:style>
  <w:style w:type="paragraph" w:customStyle="1" w:styleId="41">
    <w:name w:val="Основной текст4"/>
    <w:basedOn w:val="a"/>
    <w:rsid w:val="00D81973"/>
    <w:pPr>
      <w:widowControl w:val="0"/>
      <w:shd w:val="clear" w:color="auto" w:fill="FFFFFF"/>
      <w:spacing w:before="600" w:after="300" w:line="322" w:lineRule="exact"/>
      <w:ind w:hanging="1720"/>
      <w:jc w:val="both"/>
    </w:pPr>
    <w:rPr>
      <w:color w:val="000000"/>
      <w:sz w:val="26"/>
      <w:szCs w:val="26"/>
      <w:lang w:bidi="ru-RU"/>
    </w:rPr>
  </w:style>
  <w:style w:type="paragraph" w:styleId="affb">
    <w:name w:val="endnote text"/>
    <w:basedOn w:val="a"/>
    <w:link w:val="affc"/>
    <w:uiPriority w:val="99"/>
    <w:semiHidden/>
    <w:unhideWhenUsed/>
    <w:rsid w:val="00D81973"/>
  </w:style>
  <w:style w:type="character" w:customStyle="1" w:styleId="affc">
    <w:name w:val="Текст концевой сноски Знак"/>
    <w:basedOn w:val="a0"/>
    <w:link w:val="affb"/>
    <w:uiPriority w:val="99"/>
    <w:semiHidden/>
    <w:rsid w:val="00D81973"/>
    <w:rPr>
      <w:rFonts w:ascii="Times New Roman" w:eastAsia="Times New Roman" w:hAnsi="Times New Roman"/>
    </w:rPr>
  </w:style>
  <w:style w:type="character" w:styleId="affd">
    <w:name w:val="endnote reference"/>
    <w:uiPriority w:val="99"/>
    <w:semiHidden/>
    <w:unhideWhenUsed/>
    <w:rsid w:val="00D81973"/>
    <w:rPr>
      <w:vertAlign w:val="superscript"/>
    </w:rPr>
  </w:style>
  <w:style w:type="table" w:styleId="affe">
    <w:name w:val="Table Grid"/>
    <w:basedOn w:val="a1"/>
    <w:uiPriority w:val="59"/>
    <w:rsid w:val="00D8197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llowedHyperlink"/>
    <w:uiPriority w:val="99"/>
    <w:semiHidden/>
    <w:unhideWhenUsed/>
    <w:rsid w:val="00D81973"/>
    <w:rPr>
      <w:color w:val="800080"/>
      <w:u w:val="single"/>
    </w:rPr>
  </w:style>
  <w:style w:type="paragraph" w:styleId="42">
    <w:name w:val="toc 4"/>
    <w:basedOn w:val="a"/>
    <w:next w:val="a"/>
    <w:autoRedefine/>
    <w:uiPriority w:val="39"/>
    <w:unhideWhenUsed/>
    <w:rsid w:val="00D81973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D81973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0">
    <w:name w:val="toc 6"/>
    <w:basedOn w:val="a"/>
    <w:next w:val="a"/>
    <w:autoRedefine/>
    <w:uiPriority w:val="39"/>
    <w:unhideWhenUsed/>
    <w:rsid w:val="00D81973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D81973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D81973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D81973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D8197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b">
    <w:name w:val="Сетка таблицы1"/>
    <w:basedOn w:val="a1"/>
    <w:next w:val="affe"/>
    <w:uiPriority w:val="39"/>
    <w:rsid w:val="00D8197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consultantplus://offline/ref=E638C3F910535499FF1C46CA9DD05B4B124860692EE23E87D1D032168AA190370F171C7CA4C47C8B9CA55F6755jCBE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chart" Target="charts/chart4.xml"/><Relationship Id="rId2" Type="http://schemas.openxmlformats.org/officeDocument/2006/relationships/styles" Target="styles.xml"/><Relationship Id="rId16" Type="http://schemas.openxmlformats.org/officeDocument/2006/relationships/chart" Target="charts/chart3.xm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E638C3F910535499FF1C46CA9DD05B4B124860692EE23E87D1D032168AA190370F171C7CA4C47C8B9CA55F6755jCBEM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hart" Target="charts/chart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ccf54248-5922-42af-bd43-640e232df938.dot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 sz="1100"/>
              <a:t>Рис.1. Выработка электроэнергии, млн. кВтч.</a:t>
            </a:r>
          </a:p>
        </c:rich>
      </c:tx>
      <c:layout>
        <c:manualLayout>
          <c:xMode val="edge"/>
          <c:yMode val="edge"/>
          <c:x val="0.20825448818897635"/>
          <c:y val="1.8348842758291576E-2"/>
        </c:manualLayout>
      </c:layout>
      <c:overlay val="0"/>
      <c:spPr>
        <a:noFill/>
        <a:ln w="18985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497297647672564"/>
          <c:y val="0.16449150968351969"/>
          <c:w val="0.88021166111586069"/>
          <c:h val="0.54193040022963523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Выработка электроэнергии</c:v>
                </c:pt>
              </c:strCache>
            </c:strRef>
          </c:tx>
          <c:spPr>
            <a:ln w="28477">
              <a:solidFill>
                <a:srgbClr val="000080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1.73458936014486E-2"/>
                  <c:y val="-0.1085909121674977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0FC-4FF7-912B-4A201BBC451D}"/>
                </c:ext>
              </c:extLst>
            </c:dLbl>
            <c:dLbl>
              <c:idx val="1"/>
              <c:layout>
                <c:manualLayout>
                  <c:x val="-1.0864878307743613E-2"/>
                  <c:y val="-0.1904812040798385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70FC-4FF7-912B-4A201BBC451D}"/>
                </c:ext>
              </c:extLst>
            </c:dLbl>
            <c:dLbl>
              <c:idx val="2"/>
              <c:layout>
                <c:manualLayout>
                  <c:x val="-4.5107846942063351E-2"/>
                  <c:y val="-0.1327521828396092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70FC-4FF7-912B-4A201BBC451D}"/>
                </c:ext>
              </c:extLst>
            </c:dLbl>
            <c:dLbl>
              <c:idx val="3"/>
              <c:layout>
                <c:manualLayout>
                  <c:x val="-5.490234429285698E-2"/>
                  <c:y val="-0.1003841120862757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70FC-4FF7-912B-4A201BBC451D}"/>
                </c:ext>
              </c:extLst>
            </c:dLbl>
            <c:dLbl>
              <c:idx val="4"/>
              <c:layout>
                <c:manualLayout>
                  <c:x val="-3.9220813178193238E-2"/>
                  <c:y val="-0.1146131805157593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70FC-4FF7-912B-4A201BBC451D}"/>
                </c:ext>
              </c:extLst>
            </c:dLbl>
            <c:spPr>
              <a:noFill/>
              <a:ln w="18985">
                <a:noFill/>
              </a:ln>
            </c:spPr>
            <c:txPr>
              <a:bodyPr/>
              <a:lstStyle/>
              <a:p>
                <a:pPr>
                  <a:defRPr sz="9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Sheet1!$B$1:$F$1</c:f>
              <c:numCache>
                <c:formatCode>General</c:formatCode>
                <c:ptCount val="5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</c:numCache>
            </c:numRef>
          </c:cat>
          <c:val>
            <c:numRef>
              <c:f>Sheet1!$B$2:$F$2</c:f>
              <c:numCache>
                <c:formatCode>General</c:formatCode>
                <c:ptCount val="5"/>
                <c:pt idx="0">
                  <c:v>31403</c:v>
                </c:pt>
                <c:pt idx="1">
                  <c:v>27833</c:v>
                </c:pt>
                <c:pt idx="2">
                  <c:v>30288</c:v>
                </c:pt>
                <c:pt idx="3">
                  <c:v>31527</c:v>
                </c:pt>
                <c:pt idx="4">
                  <c:v>31780.2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0FC-4FF7-912B-4A201BBC45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5410048"/>
        <c:axId val="95689728"/>
      </c:lineChart>
      <c:catAx>
        <c:axId val="954100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23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3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5689728"/>
        <c:crossesAt val="0"/>
        <c:auto val="1"/>
        <c:lblAlgn val="ctr"/>
        <c:lblOffset val="100"/>
        <c:tickLblSkip val="1"/>
        <c:tickMarkSkip val="1"/>
        <c:noMultiLvlLbl val="0"/>
      </c:catAx>
      <c:valAx>
        <c:axId val="95689728"/>
        <c:scaling>
          <c:orientation val="minMax"/>
          <c:max val="40000"/>
          <c:min val="20000"/>
        </c:scaling>
        <c:delete val="0"/>
        <c:axPos val="l"/>
        <c:majorGridlines>
          <c:spPr>
            <a:ln w="2373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5410048"/>
        <c:crosses val="autoZero"/>
        <c:crossBetween val="between"/>
        <c:majorUnit val="10000"/>
      </c:valAx>
      <c:spPr>
        <a:solidFill>
          <a:srgbClr val="FFFFFF"/>
        </a:solidFill>
        <a:ln w="2373">
          <a:solidFill>
            <a:srgbClr val="000000"/>
          </a:solidFill>
          <a:prstDash val="solid"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 sz="1099"/>
              <a:t>Рис.2. Выработка электроэнергии, млн. кВтч.</a:t>
            </a:r>
          </a:p>
        </c:rich>
      </c:tx>
      <c:layout>
        <c:manualLayout>
          <c:xMode val="edge"/>
          <c:yMode val="edge"/>
          <c:x val="0.19791843699095624"/>
          <c:y val="2.1622560337852505E-2"/>
        </c:manualLayout>
      </c:layout>
      <c:overlay val="0"/>
      <c:spPr>
        <a:noFill/>
        <a:ln w="253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394891944990145"/>
          <c:y val="0.17773147587321494"/>
          <c:w val="0.85787937113921364"/>
          <c:h val="0.54118742849451562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Выработка электроэнергии</c:v>
                </c:pt>
              </c:strCache>
            </c:strRef>
          </c:tx>
          <c:spPr>
            <a:ln w="37949">
              <a:solidFill>
                <a:srgbClr val="00008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1.0277769332887841E-3"/>
                  <c:y val="-0.1281092940305538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92E-4888-BB24-220BA6783089}"/>
                </c:ext>
              </c:extLst>
            </c:dLbl>
            <c:dLbl>
              <c:idx val="1"/>
              <c:layout>
                <c:manualLayout>
                  <c:x val="-2.5686152867255285E-2"/>
                  <c:y val="-0.1092487684278666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492E-4888-BB24-220BA6783089}"/>
                </c:ext>
              </c:extLst>
            </c:dLbl>
            <c:dLbl>
              <c:idx val="2"/>
              <c:layout>
                <c:manualLayout>
                  <c:x val="-4.2138069455314127E-2"/>
                  <c:y val="-0.1089364410033975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492E-4888-BB24-220BA6783089}"/>
                </c:ext>
              </c:extLst>
            </c:dLbl>
            <c:dLbl>
              <c:idx val="3"/>
              <c:layout>
                <c:manualLayout>
                  <c:x val="-4.8681541582150087E-2"/>
                  <c:y val="-0.1114723641430561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92E-4888-BB24-220BA6783089}"/>
                </c:ext>
              </c:extLst>
            </c:dLbl>
            <c:spPr>
              <a:noFill/>
              <a:ln w="25300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Sheet1!$B$1:$D$1</c:f>
              <c:numCache>
                <c:formatCode>General</c:formatCode>
                <c:ptCount val="3"/>
                <c:pt idx="0">
                  <c:v>2027</c:v>
                </c:pt>
                <c:pt idx="1">
                  <c:v>2028</c:v>
                </c:pt>
                <c:pt idx="2">
                  <c:v>2029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31171</c:v>
                </c:pt>
                <c:pt idx="1">
                  <c:v>31672</c:v>
                </c:pt>
                <c:pt idx="2">
                  <c:v>30081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92E-4888-BB24-220BA6783089}"/>
            </c:ext>
          </c:extLst>
        </c:ser>
        <c:ser>
          <c:idx val="1"/>
          <c:order val="1"/>
          <c:tx>
            <c:strRef>
              <c:f>Sheet1!$A$2</c:f>
              <c:strCache>
                <c:ptCount val="1"/>
                <c:pt idx="0">
                  <c:v>Выработка электроэнергии</c:v>
                </c:pt>
              </c:strCache>
            </c:strRef>
          </c:tx>
          <c:spPr>
            <a:ln w="37949">
              <a:solidFill>
                <a:srgbClr val="000080"/>
              </a:solidFill>
              <a:prstDash val="solid"/>
            </a:ln>
          </c:spPr>
          <c:cat>
            <c:numRef>
              <c:f>Sheet1!$B$1:$D$1</c:f>
              <c:numCache>
                <c:formatCode>General</c:formatCode>
                <c:ptCount val="3"/>
                <c:pt idx="0">
                  <c:v>2027</c:v>
                </c:pt>
                <c:pt idx="1">
                  <c:v>2028</c:v>
                </c:pt>
                <c:pt idx="2">
                  <c:v>2029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31171</c:v>
                </c:pt>
                <c:pt idx="1">
                  <c:v>31672</c:v>
                </c:pt>
                <c:pt idx="2">
                  <c:v>30081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492E-4888-BB24-220BA67830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5404800"/>
        <c:axId val="95409280"/>
      </c:lineChart>
      <c:catAx>
        <c:axId val="95404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5409280"/>
        <c:crossesAt val="0"/>
        <c:auto val="1"/>
        <c:lblAlgn val="ctr"/>
        <c:lblOffset val="100"/>
        <c:tickLblSkip val="1"/>
        <c:tickMarkSkip val="1"/>
        <c:noMultiLvlLbl val="0"/>
      </c:catAx>
      <c:valAx>
        <c:axId val="95409280"/>
        <c:scaling>
          <c:orientation val="minMax"/>
          <c:max val="40000"/>
          <c:min val="20000"/>
        </c:scaling>
        <c:delete val="0"/>
        <c:axPos val="l"/>
        <c:majorGridlines>
          <c:spPr>
            <a:ln w="3162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5404800"/>
        <c:crosses val="autoZero"/>
        <c:crossBetween val="between"/>
        <c:majorUnit val="10000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4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2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Рис. 3. Объем инвестиций в основной капитал, млн. руб.</a:t>
            </a:r>
          </a:p>
        </c:rich>
      </c:tx>
      <c:layout>
        <c:manualLayout>
          <c:xMode val="edge"/>
          <c:yMode val="edge"/>
          <c:x val="0.22425026417152399"/>
          <c:y val="0"/>
        </c:manualLayout>
      </c:layout>
      <c:overlay val="0"/>
      <c:spPr>
        <a:noFill/>
        <a:ln w="25423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25400">
          <a:noFill/>
        </a:ln>
      </c:spPr>
    </c:sideWall>
    <c:backWall>
      <c:thickness val="0"/>
      <c:spPr>
        <a:solidFill>
          <a:srgbClr val="FFFFFF"/>
        </a:solidFill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3885267275097801E-2"/>
          <c:y val="0.17993079584775953"/>
          <c:w val="0.92438070404172057"/>
          <c:h val="0.70588235294117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Объем инвестиций в основной капитал</c:v>
                </c:pt>
              </c:strCache>
            </c:strRef>
          </c:tx>
          <c:spPr>
            <a:solidFill>
              <a:srgbClr val="FFCC00"/>
            </a:solidFill>
            <a:ln w="1271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8566138633925703E-3"/>
                  <c:y val="0.1186834420882693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442-4C5A-A661-5B164331D67C}"/>
                </c:ext>
              </c:extLst>
            </c:dLbl>
            <c:dLbl>
              <c:idx val="1"/>
              <c:layout>
                <c:manualLayout>
                  <c:x val="1.142452978818361E-2"/>
                  <c:y val="0.10927355297693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8442-4C5A-A661-5B164331D67C}"/>
                </c:ext>
              </c:extLst>
            </c:dLbl>
            <c:dLbl>
              <c:idx val="2"/>
              <c:layout>
                <c:manualLayout>
                  <c:x val="1.4211441960559528E-2"/>
                  <c:y val="0.1057298142008564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8442-4C5A-A661-5B164331D67C}"/>
                </c:ext>
              </c:extLst>
            </c:dLbl>
            <c:dLbl>
              <c:idx val="3"/>
              <c:layout>
                <c:manualLayout>
                  <c:x val="1.4136383010615644E-2"/>
                  <c:y val="0.1237126103129506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8442-4C5A-A661-5B164331D67C}"/>
                </c:ext>
              </c:extLst>
            </c:dLbl>
            <c:spPr>
              <a:noFill/>
              <a:ln w="25423">
                <a:noFill/>
              </a:ln>
            </c:spPr>
            <c:txPr>
              <a:bodyPr/>
              <a:lstStyle/>
              <a:p>
                <a:pPr>
                  <a:defRPr sz="100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Sheet1!$B$1:$E$1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20440</c:v>
                </c:pt>
                <c:pt idx="1">
                  <c:v>28500</c:v>
                </c:pt>
                <c:pt idx="2">
                  <c:v>33247.9</c:v>
                </c:pt>
                <c:pt idx="3">
                  <c:v>53771.3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5-8442-4C5A-A661-5B164331D6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5405568"/>
        <c:axId val="95689728"/>
        <c:axId val="0"/>
      </c:bar3DChart>
      <c:catAx>
        <c:axId val="95405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56897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5689728"/>
        <c:scaling>
          <c:orientation val="minMax"/>
          <c:min val="0"/>
        </c:scaling>
        <c:delete val="0"/>
        <c:axPos val="l"/>
        <c:majorGridlines>
          <c:spPr>
            <a:ln w="3177">
              <a:solidFill>
                <a:srgbClr val="C0C0C0"/>
              </a:solidFill>
              <a:prstDash val="sysDash"/>
            </a:ln>
          </c:spPr>
        </c:majorGridlines>
        <c:numFmt formatCode="General" sourceLinked="1"/>
        <c:majorTickMark val="none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5405568"/>
        <c:crosses val="autoZero"/>
        <c:crossBetween val="between"/>
        <c:majorUnit val="10000"/>
        <c:minorUnit val="107.54260000000001"/>
      </c:valAx>
      <c:spPr>
        <a:noFill/>
        <a:ln w="25393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3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Рис</a:t>
            </a:r>
            <a:r>
              <a:rPr lang="ru-RU" baseline="0"/>
              <a:t>. 4. Прогноз о</a:t>
            </a:r>
            <a:r>
              <a:rPr lang="ru-RU"/>
              <a:t>бъема инвестиций в основной капитал, млн. руб.</a:t>
            </a:r>
          </a:p>
        </c:rich>
      </c:tx>
      <c:layout>
        <c:manualLayout>
          <c:xMode val="edge"/>
          <c:yMode val="edge"/>
          <c:x val="0.22860804312212649"/>
          <c:y val="2.0761154855643043E-2"/>
        </c:manualLayout>
      </c:layout>
      <c:overlay val="0"/>
      <c:spPr>
        <a:noFill/>
        <a:ln w="25380">
          <a:noFill/>
        </a:ln>
      </c:spPr>
    </c:title>
    <c:autoTitleDeleted val="0"/>
    <c:view3D>
      <c:rotX val="0"/>
      <c:hPercent val="3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25400">
          <a:noFill/>
        </a:ln>
      </c:spPr>
    </c:sideWall>
    <c:backWall>
      <c:thickness val="0"/>
      <c:spPr>
        <a:solidFill>
          <a:srgbClr val="FFFFFF"/>
        </a:solidFill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2579821200510893E-2"/>
          <c:y val="0.17993079584775953"/>
          <c:w val="0.92592592592592549"/>
          <c:h val="0.70588235294117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Объем инвестиций в основной капитал</c:v>
                </c:pt>
              </c:strCache>
            </c:strRef>
          </c:tx>
          <c:spPr>
            <a:solidFill>
              <a:srgbClr val="FFCC00"/>
            </a:solid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031811417815713E-2"/>
                  <c:y val="0.121340568448683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06D-40C8-85A7-3CDC14200A7F}"/>
                </c:ext>
              </c:extLst>
            </c:dLbl>
            <c:dLbl>
              <c:idx val="1"/>
              <c:layout>
                <c:manualLayout>
                  <c:x val="1.80087313866743E-2"/>
                  <c:y val="0.1173353536400055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6D-40C8-85A7-3CDC14200A7F}"/>
                </c:ext>
              </c:extLst>
            </c:dLbl>
            <c:dLbl>
              <c:idx val="2"/>
              <c:layout>
                <c:manualLayout>
                  <c:x val="1.8391920346628145E-2"/>
                  <c:y val="0.1316579465395771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206D-40C8-85A7-3CDC14200A7F}"/>
                </c:ext>
              </c:extLst>
            </c:dLbl>
            <c:dLbl>
              <c:idx val="3"/>
              <c:layout>
                <c:manualLayout>
                  <c:x val="-5.5838038392051773E-2"/>
                  <c:y val="-0.162813093195043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06D-40C8-85A7-3CDC14200A7F}"/>
                </c:ext>
              </c:extLst>
            </c:dLbl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Sheet1!$B$1:$D$1</c:f>
              <c:numCache>
                <c:formatCode>General</c:formatCode>
                <c:ptCount val="3"/>
                <c:pt idx="0">
                  <c:v>2027</c:v>
                </c:pt>
                <c:pt idx="1">
                  <c:v>2028</c:v>
                </c:pt>
                <c:pt idx="2">
                  <c:v>2029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111780</c:v>
                </c:pt>
                <c:pt idx="1">
                  <c:v>278164</c:v>
                </c:pt>
                <c:pt idx="2">
                  <c:v>223488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5-206D-40C8-85A7-3CDC14200A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5404416"/>
        <c:axId val="95405952"/>
        <c:axId val="0"/>
      </c:bar3DChart>
      <c:catAx>
        <c:axId val="954044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54059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5405952"/>
        <c:scaling>
          <c:orientation val="minMax"/>
          <c:min val="0"/>
        </c:scaling>
        <c:delete val="0"/>
        <c:axPos val="l"/>
        <c:majorGridlines>
          <c:spPr>
            <a:ln w="3173">
              <a:solidFill>
                <a:srgbClr val="C0C0C0"/>
              </a:solidFill>
              <a:prstDash val="sysDash"/>
            </a:ln>
          </c:spPr>
        </c:majorGridlines>
        <c:numFmt formatCode="General" sourceLinked="1"/>
        <c:majorTickMark val="none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8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5404416"/>
        <c:crosses val="autoZero"/>
        <c:crossBetween val="between"/>
      </c:valAx>
      <c:spPr>
        <a:noFill/>
        <a:ln w="25346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28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ccf54248-5922-42af-bd43-640e232df938.dot</Template>
  <TotalTime>2</TotalTime>
  <Pages>62</Pages>
  <Words>24166</Words>
  <Characters>137751</Characters>
  <Application>Microsoft Office Word</Application>
  <DocSecurity>0</DocSecurity>
  <Lines>1147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161594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ОЭР - Мандрукина К.Р.</dc:creator>
  <cp:keywords/>
  <cp:lastModifiedBy>  </cp:lastModifiedBy>
  <cp:revision>3</cp:revision>
  <cp:lastPrinted>2026-10-28T11:18:00Z</cp:lastPrinted>
  <dcterms:created xsi:type="dcterms:W3CDTF">2026-10-28T11:51:00Z</dcterms:created>
  <dcterms:modified xsi:type="dcterms:W3CDTF">2026-10-28T11:52:00Z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62319b8d-d653-4ceb-9c36-a17f9a4ccdb9</vt:lpwstr>
  </property>
</Properties>
</file>