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B46D22" w:rsidRPr="00000674" w:rsidRDefault="00B46D22"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End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D168E2">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D168E2">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D168E2">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D168E2">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D168E2">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D168E2">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D168E2">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795299" w:rsidRPr="00CC704E" w:rsidRDefault="00795299" w:rsidP="00795299">
      <w:pPr>
        <w:rPr>
          <w:rFonts w:cs="Times New Roman"/>
          <w:color w:val="auto"/>
        </w:rPr>
      </w:pPr>
      <w:r w:rsidRPr="00CC704E">
        <w:rPr>
          <w:rFonts w:cs="Times New Roman"/>
          <w:color w:val="auto"/>
        </w:rPr>
        <w:t>По итогам 2025 года оборот крупных и средних предприятий составил 215 млрд. 946 млн. руб. по сравнению с уровнем, достигнутым в аналогичном периоде 2024 года, наблюдается рост на 16,4 %:</w:t>
      </w:r>
    </w:p>
    <w:p w:rsidR="004553E3" w:rsidRPr="00775F2B" w:rsidRDefault="004553E3" w:rsidP="00176FAB">
      <w:pPr>
        <w:rPr>
          <w:rFonts w:cs="Times New Roman"/>
          <w:color w:val="auto"/>
        </w:rPr>
      </w:pPr>
    </w:p>
    <w:bookmarkStart w:id="4" w:name="_MON_1767788717"/>
    <w:bookmarkEnd w:id="4"/>
    <w:p w:rsidR="00CB274A" w:rsidRPr="00775F2B" w:rsidRDefault="00795299" w:rsidP="00176FAB">
      <w:pPr>
        <w:rPr>
          <w:rFonts w:cs="Times New Roman"/>
          <w:color w:val="auto"/>
        </w:rPr>
      </w:pPr>
      <w:r w:rsidRPr="00775F2B">
        <w:rPr>
          <w:rFonts w:cs="Times New Roman"/>
          <w:noProof/>
          <w:color w:val="auto"/>
        </w:rPr>
        <w:object w:dxaOrig="8902" w:dyaOrig="4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01pt" o:ole="">
            <v:imagedata r:id="rId8" o:title=""/>
            <o:lock v:ext="edit" aspectratio="f"/>
          </v:shape>
          <o:OLEObject Type="Embed" ProgID="Excel.Sheet.8" ShapeID="_x0000_i1025" DrawAspect="Content" ObjectID="_1843997559"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производства за 2025 год к уровню соответствующего периода прошлого года в разрезе отраслей носит разнонаправленный характер. </w:t>
      </w:r>
    </w:p>
    <w:p w:rsidR="00795299" w:rsidRPr="00795299" w:rsidRDefault="00795299" w:rsidP="00795299">
      <w:pPr>
        <w:rPr>
          <w:rFonts w:cs="Times New Roman"/>
          <w:color w:val="auto"/>
        </w:rPr>
      </w:pPr>
      <w:r w:rsidRPr="00795299">
        <w:rPr>
          <w:rFonts w:cs="Times New Roman"/>
          <w:color w:val="auto"/>
        </w:rPr>
        <w:t xml:space="preserve">Увеличение отмечено в сферах: в строительстве – в 1,9 раза больше уровня, достигнутого в 2024 году; в сфере обеспечения электроэнергией, газом и паром – рост на 24 %. </w:t>
      </w:r>
    </w:p>
    <w:p w:rsidR="00795299" w:rsidRPr="00795299" w:rsidRDefault="00795299" w:rsidP="00795299">
      <w:pPr>
        <w:rPr>
          <w:rFonts w:cs="Times New Roman"/>
          <w:color w:val="auto"/>
        </w:rPr>
      </w:pPr>
      <w:r w:rsidRPr="00795299">
        <w:rPr>
          <w:rFonts w:cs="Times New Roman"/>
          <w:color w:val="auto"/>
        </w:rPr>
        <w:t>Отмечено снижение оборота в сфере «обрабатывающие производства на 18,8%, в области водоотведения, организации сбора и утилизации отходов – рост на 10,4 %.</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Ленинградская АЭС - крупнейшая атомная станция в России по установленной мощности (4437 МВт) и единственная, где действуют энергоблоки двух разных типов— канальные уран-графитовые и водо-водяные. В настоящее время в работе два блока с реакторами РБМК-1000 и два блока с реакторами ВВЭР-1200. Часть станции с энергоблоками ВВЭР называют также ЛАЭС-2. В 2021 году было принято решение о строительстве второй очереди ЛАЭС-2 - еще двух энергоблоков с реакторами ВВЭР-1200.</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795299" w:rsidRPr="00795299" w:rsidRDefault="00795299" w:rsidP="00795299">
      <w:pPr>
        <w:textAlignment w:val="baseline"/>
        <w:rPr>
          <w:rFonts w:eastAsia="Times New Roman" w:cs="Times New Roman"/>
          <w:color w:val="auto"/>
          <w:lang w:eastAsia="ru-RU"/>
        </w:rPr>
      </w:pPr>
      <w:r w:rsidRPr="00795299">
        <w:rPr>
          <w:rFonts w:eastAsia="Times New Roman" w:cs="Times New Roman"/>
          <w:color w:val="auto"/>
          <w:lang w:eastAsia="ru-RU"/>
        </w:rPr>
        <w:t>За счет эксплуатации энергоблоков осуществляется теплоснабжение города Сосновый Бор и его промышленной площадки.</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60,3 %, строительство – 12,7 %, оптовая и розничная торговля – 8 %, научные исследования и разработки – 7 %, обрабатывающие производства – 6,3 %.</w:t>
      </w:r>
    </w:p>
    <w:p w:rsidR="00795299" w:rsidRPr="00795299" w:rsidRDefault="00795299" w:rsidP="00795299">
      <w:pPr>
        <w:ind w:firstLine="851"/>
        <w:textAlignment w:val="baseline"/>
        <w:rPr>
          <w:rFonts w:eastAsia="Times New Roman" w:cs="Times New Roman"/>
          <w:color w:val="auto"/>
          <w:lang w:eastAsia="ru-RU"/>
        </w:rPr>
      </w:pP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Структура объема продукции крупных и средних предприятий округа</w:t>
      </w: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за 2025 год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795299" w:rsidP="00795299">
      <w:pPr>
        <w:ind w:firstLine="851"/>
        <w:textAlignment w:val="baseline"/>
        <w:rPr>
          <w:rFonts w:eastAsia="Times New Roman" w:cs="Times New Roman"/>
          <w:color w:val="auto"/>
          <w:lang w:eastAsia="ru-RU"/>
        </w:rPr>
      </w:pPr>
      <w:r>
        <w:rPr>
          <w:noProof/>
          <w:lang w:eastAsia="ru-RU"/>
        </w:rPr>
        <w:lastRenderedPageBreak/>
        <w:drawing>
          <wp:inline distT="0" distB="0" distL="0" distR="0" wp14:anchorId="10E7815C" wp14:editId="1C5A5F72">
            <wp:extent cx="4588566" cy="2906076"/>
            <wp:effectExtent l="0" t="0" r="254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976" t="31436" r="40019" b="33726"/>
                    <a:stretch/>
                  </pic:blipFill>
                  <pic:spPr bwMode="auto">
                    <a:xfrm>
                      <a:off x="0" y="0"/>
                      <a:ext cx="4619204" cy="2925480"/>
                    </a:xfrm>
                    <a:prstGeom prst="rect">
                      <a:avLst/>
                    </a:prstGeom>
                    <a:ln>
                      <a:noFill/>
                    </a:ln>
                    <a:extLst>
                      <a:ext uri="{53640926-AAD7-44D8-BBD7-CCE9431645EC}">
                        <a14:shadowObscured xmlns:a14="http://schemas.microsoft.com/office/drawing/2010/main"/>
                      </a:ext>
                    </a:extLst>
                  </pic:spPr>
                </pic:pic>
              </a:graphicData>
            </a:graphic>
          </wp:inline>
        </w:drawing>
      </w: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Объем отгруженных товаров собственного производства, выполненных работ и услуг собственными силами крупных и средних предприятий города в 2025 году составил 189 млрд. 208 млн. руб. или 119,1 % к уровню предыдущего года.</w:t>
      </w:r>
    </w:p>
    <w:p w:rsidR="00795299" w:rsidRPr="00795299" w:rsidRDefault="00795299" w:rsidP="00795299">
      <w:pPr>
        <w:rPr>
          <w:rFonts w:cs="Times New Roman"/>
          <w:color w:val="auto"/>
        </w:rPr>
      </w:pPr>
      <w:r w:rsidRPr="00795299">
        <w:rPr>
          <w:rFonts w:cs="Times New Roman"/>
          <w:color w:val="auto"/>
        </w:rPr>
        <w:t xml:space="preserve">Структура </w:t>
      </w:r>
      <w:r w:rsidRPr="00795299">
        <w:rPr>
          <w:rFonts w:cs="Times New Roman"/>
          <w:bCs/>
          <w:color w:val="auto"/>
        </w:rPr>
        <w:t>отгруженных товаров собственного производства</w:t>
      </w:r>
      <w:r w:rsidRPr="00795299">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795299" w:rsidRPr="00795299" w:rsidRDefault="00795299" w:rsidP="00795299">
      <w:pPr>
        <w:rPr>
          <w:rFonts w:cs="Times New Roman"/>
          <w:color w:val="auto"/>
        </w:rPr>
      </w:pPr>
      <w:r w:rsidRPr="00795299">
        <w:rPr>
          <w:rFonts w:cs="Times New Roman"/>
          <w:color w:val="auto"/>
        </w:rPr>
        <w:t>В отчетном периоде не анализируются показатели сферы «сельское хозяйство» в связи с отсутствием сельскохозяйственных товаропроизводителей, относящихся к категории «крупные и средние предприятия».</w:t>
      </w:r>
    </w:p>
    <w:p w:rsidR="00391238" w:rsidRPr="00775F2B" w:rsidRDefault="00391238" w:rsidP="00795299">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5" w:name="_Toc162267771"/>
      <w:bookmarkStart w:id="6" w:name="_Toc213413436"/>
      <w:r w:rsidRPr="00775F2B">
        <w:rPr>
          <w:sz w:val="24"/>
          <w:szCs w:val="24"/>
        </w:rPr>
        <w:t>Демография</w:t>
      </w:r>
      <w:bookmarkEnd w:id="5"/>
      <w:bookmarkEnd w:id="6"/>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7" w:name="_Toc162267772"/>
      <w:bookmarkStart w:id="8" w:name="_Toc213413437"/>
      <w:r w:rsidRPr="00775F2B">
        <w:rPr>
          <w:sz w:val="24"/>
          <w:szCs w:val="24"/>
        </w:rPr>
        <w:t>1.2. Промышленность</w:t>
      </w:r>
      <w:bookmarkEnd w:id="7"/>
      <w:bookmarkEnd w:id="8"/>
    </w:p>
    <w:p w:rsidR="00176FAB" w:rsidRPr="00775F2B" w:rsidRDefault="00176FAB" w:rsidP="00176FAB">
      <w:pPr>
        <w:rPr>
          <w:rFonts w:cs="Times New Roman"/>
          <w:color w:val="auto"/>
        </w:rPr>
      </w:pPr>
    </w:p>
    <w:p w:rsidR="00795299" w:rsidRPr="00795299" w:rsidRDefault="00795299" w:rsidP="00795299">
      <w:pPr>
        <w:rPr>
          <w:rFonts w:cs="Times New Roman"/>
          <w:color w:val="auto"/>
        </w:rPr>
      </w:pPr>
      <w:r w:rsidRPr="00795299">
        <w:rPr>
          <w:rFonts w:cs="Times New Roman"/>
          <w:bCs/>
          <w:color w:val="auto"/>
        </w:rPr>
        <w:t xml:space="preserve">Объем отгруженных товаров </w:t>
      </w:r>
      <w:r w:rsidRPr="00795299">
        <w:rPr>
          <w:rFonts w:cs="Times New Roman"/>
          <w:color w:val="auto"/>
        </w:rPr>
        <w:t>собственного производства по основному виду деятельности промышленных предприятий</w:t>
      </w:r>
      <w:r w:rsidRPr="00795299">
        <w:rPr>
          <w:rFonts w:cs="Times New Roman"/>
          <w:bCs/>
          <w:color w:val="auto"/>
        </w:rPr>
        <w:t xml:space="preserve"> за 2025 год</w:t>
      </w:r>
      <w:r w:rsidRPr="00795299">
        <w:rPr>
          <w:rFonts w:cs="Times New Roman"/>
          <w:color w:val="auto"/>
        </w:rPr>
        <w:t xml:space="preserve"> составил 144 млрд. 316 млн. руб. или 118,4 % к уровню предыдущего года. </w:t>
      </w:r>
    </w:p>
    <w:p w:rsidR="00795299" w:rsidRPr="00795299" w:rsidRDefault="00795299" w:rsidP="00795299">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Default="00C8192A" w:rsidP="00C8192A">
      <w:pPr>
        <w:rPr>
          <w:rFonts w:cs="Times New Roman"/>
          <w:color w:val="auto"/>
        </w:rPr>
      </w:pPr>
    </w:p>
    <w:p w:rsidR="00795299" w:rsidRPr="00775F2B" w:rsidRDefault="00795299" w:rsidP="00795299">
      <w:pPr>
        <w:ind w:firstLine="0"/>
        <w:rPr>
          <w:rFonts w:cs="Times New Roman"/>
          <w:color w:val="auto"/>
        </w:rPr>
      </w:pPr>
      <w:r w:rsidRPr="00D56778">
        <w:rPr>
          <w:rFonts w:cs="Times New Roman"/>
          <w:noProof/>
          <w:color w:val="auto"/>
          <w:lang w:eastAsia="ru-RU"/>
        </w:rPr>
        <w:lastRenderedPageBreak/>
        <w:drawing>
          <wp:inline distT="0" distB="0" distL="0" distR="0" wp14:anchorId="606F36A0" wp14:editId="258F8513">
            <wp:extent cx="6162675" cy="168465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ind w:firstLine="0"/>
        <w:jc w:val="cente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В виде экономической деятельности </w:t>
      </w:r>
      <w:r w:rsidRPr="00795299">
        <w:rPr>
          <w:rFonts w:cs="Times New Roman"/>
          <w:bCs/>
          <w:color w:val="auto"/>
        </w:rPr>
        <w:t>«обеспечение электрической энергией, газом и паром»</w:t>
      </w:r>
      <w:r w:rsidRPr="00795299">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2025 года составил 129 млрд. 653 млн. руб., что больше на 24,9 % уровня прошлого года и соответствует 90 % от общего объема промышленной продукции округа.</w:t>
      </w:r>
    </w:p>
    <w:p w:rsidR="00795299" w:rsidRPr="00795299" w:rsidRDefault="00795299" w:rsidP="00795299">
      <w:pPr>
        <w:rPr>
          <w:rFonts w:cs="Times New Roman"/>
          <w:color w:val="auto"/>
        </w:rPr>
      </w:pPr>
      <w:r w:rsidRPr="00795299">
        <w:rPr>
          <w:rFonts w:cs="Times New Roman"/>
          <w:color w:val="auto"/>
          <w:shd w:val="clear" w:color="auto" w:fill="FFFFFF"/>
        </w:rPr>
        <w:t>В 2025 году ЛАЭС выработала более 31 млрд кВтч, произведенная в Сосновом Бору электроэнергия поступила в энергосистему РФ.</w:t>
      </w:r>
    </w:p>
    <w:p w:rsidR="00795299" w:rsidRPr="00795299" w:rsidRDefault="00795299" w:rsidP="00795299">
      <w:pPr>
        <w:rPr>
          <w:rFonts w:cs="Times New Roman"/>
          <w:color w:val="auto"/>
        </w:rPr>
      </w:pPr>
      <w:r w:rsidRPr="00795299">
        <w:rPr>
          <w:rFonts w:cs="Times New Roman"/>
          <w:color w:val="auto"/>
        </w:rPr>
        <w:t xml:space="preserve">В виде деятельности </w:t>
      </w:r>
      <w:r w:rsidRPr="00795299">
        <w:rPr>
          <w:rFonts w:cs="Times New Roman"/>
          <w:bCs/>
          <w:color w:val="auto"/>
        </w:rPr>
        <w:t xml:space="preserve">«Обрабатывающие производства» </w:t>
      </w:r>
      <w:r w:rsidRPr="00795299">
        <w:rPr>
          <w:rFonts w:cs="Times New Roman"/>
          <w:color w:val="auto"/>
        </w:rPr>
        <w:t>функционирует 7 предприятий, относящихся к категории «крупные и средние», объем отгруженной продукции которых составил 11 млрд. 752 млн. руб., что на 20,6 % меньше уровня 2024 года.</w:t>
      </w:r>
      <w:r w:rsidRPr="00795299">
        <w:rPr>
          <w:rFonts w:ascii="Arial" w:hAnsi="Arial" w:cs="Arial"/>
          <w:b/>
          <w:bCs/>
          <w:color w:val="auto"/>
          <w:shd w:val="clear" w:color="auto" w:fill="FFFFFF"/>
        </w:rPr>
        <w:t xml:space="preserve"> </w:t>
      </w:r>
      <w:r w:rsidRPr="00795299">
        <w:rPr>
          <w:rFonts w:cs="Times New Roman"/>
          <w:color w:val="auto"/>
        </w:rPr>
        <w:t>Снижение отмечено в производстве готовых металлических изделий (72,5 % к уровню предыдущего года) и в производстве машин и оборудования (84,4 %).</w:t>
      </w:r>
    </w:p>
    <w:p w:rsidR="00795299" w:rsidRPr="00795299" w:rsidRDefault="00795299" w:rsidP="00795299">
      <w:pPr>
        <w:rPr>
          <w:rFonts w:cs="Times New Roman"/>
          <w:color w:val="auto"/>
        </w:rPr>
      </w:pPr>
      <w:r w:rsidRPr="00795299">
        <w:rPr>
          <w:rFonts w:cs="Times New Roman"/>
          <w:color w:val="auto"/>
        </w:rPr>
        <w:t xml:space="preserve">В виде деятельности «обрабатывающие производства» предприятия </w:t>
      </w:r>
      <w:r w:rsidR="00E36D57" w:rsidRPr="00E36D57">
        <w:rPr>
          <w:color w:val="auto"/>
        </w:rPr>
        <w:t>осуществляют: производство насосного и кранового оборудования, изготовление</w:t>
      </w:r>
      <w:r w:rsidR="00E36D57">
        <w:t xml:space="preserve"> </w:t>
      </w:r>
      <w:r w:rsidRPr="00795299">
        <w:rPr>
          <w:rFonts w:cs="Times New Roman"/>
          <w:color w:val="auto"/>
        </w:rPr>
        <w:t xml:space="preserve">металлоконструкций, механических моющих средств из поролона, абразива, вискозы и целлюлозы; бетона и раствора товарного, песка строительного. </w:t>
      </w:r>
    </w:p>
    <w:p w:rsidR="00795299" w:rsidRPr="00795299" w:rsidRDefault="00795299" w:rsidP="00795299">
      <w:pPr>
        <w:rPr>
          <w:rFonts w:cs="Times New Roman"/>
          <w:color w:val="auto"/>
        </w:rPr>
      </w:pPr>
      <w:r w:rsidRPr="00795299">
        <w:rPr>
          <w:rFonts w:cs="Times New Roman"/>
          <w:color w:val="auto"/>
        </w:rPr>
        <w:t>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2025 года составил 2,9 млрд. руб., что на 10,4 % меньше уровня, достигнутого в 2024 году, снижение отмечено в сфере «Сбор, обработка и утилизация отходов; обработка вторичного сырья» -  на 35,1 %.</w:t>
      </w:r>
    </w:p>
    <w:p w:rsidR="00795299" w:rsidRPr="00795299" w:rsidRDefault="00795299" w:rsidP="00795299">
      <w:pPr>
        <w:rPr>
          <w:rFonts w:cs="Times New Roman"/>
          <w:color w:val="auto"/>
        </w:rPr>
      </w:pPr>
      <w:r w:rsidRPr="00795299">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 2025 году характеризуются следующими данными:</w:t>
      </w:r>
    </w:p>
    <w:p w:rsidR="00E95A40"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1134"/>
        <w:gridCol w:w="1023"/>
        <w:gridCol w:w="1418"/>
      </w:tblGrid>
      <w:tr w:rsidR="00795299" w:rsidRPr="00795299" w:rsidTr="00970D2D">
        <w:trPr>
          <w:cantSplit/>
          <w:trHeight w:val="507"/>
          <w:jc w:val="center"/>
        </w:trPr>
        <w:tc>
          <w:tcPr>
            <w:tcW w:w="3712" w:type="dxa"/>
            <w:vMerge w:val="restart"/>
            <w:vAlign w:val="center"/>
          </w:tcPr>
          <w:p w:rsidR="00795299" w:rsidRPr="00795299" w:rsidRDefault="00795299" w:rsidP="00970D2D">
            <w:pPr>
              <w:ind w:firstLine="0"/>
              <w:jc w:val="right"/>
              <w:rPr>
                <w:rFonts w:cs="Times New Roman"/>
                <w:color w:val="auto"/>
              </w:rPr>
            </w:pPr>
            <w:r w:rsidRPr="00795299">
              <w:rPr>
                <w:rFonts w:cs="Times New Roman"/>
                <w:color w:val="auto"/>
              </w:rPr>
              <w:t>Вид экономической деятельности</w:t>
            </w:r>
          </w:p>
        </w:tc>
        <w:tc>
          <w:tcPr>
            <w:tcW w:w="2520" w:type="dxa"/>
            <w:gridSpan w:val="2"/>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Среднесписочная численность</w:t>
            </w:r>
          </w:p>
        </w:tc>
        <w:tc>
          <w:tcPr>
            <w:tcW w:w="3575" w:type="dxa"/>
            <w:gridSpan w:val="3"/>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Среднемесячная заработная плата списочного состава</w:t>
            </w:r>
          </w:p>
        </w:tc>
      </w:tr>
      <w:tr w:rsidR="00795299" w:rsidRPr="00795299" w:rsidTr="00970D2D">
        <w:trPr>
          <w:cantSplit/>
          <w:trHeight w:val="148"/>
          <w:jc w:val="center"/>
        </w:trPr>
        <w:tc>
          <w:tcPr>
            <w:tcW w:w="3712" w:type="dxa"/>
            <w:vMerge/>
            <w:vAlign w:val="center"/>
          </w:tcPr>
          <w:p w:rsidR="00795299" w:rsidRPr="00795299" w:rsidRDefault="00795299" w:rsidP="00970D2D">
            <w:pPr>
              <w:ind w:firstLine="0"/>
              <w:rPr>
                <w:rFonts w:cs="Times New Roman"/>
                <w:color w:val="auto"/>
              </w:rPr>
            </w:pP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чел.</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руб.</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среднему уровню</w:t>
            </w:r>
          </w:p>
          <w:p w:rsidR="00795299" w:rsidRPr="00795299" w:rsidRDefault="00795299" w:rsidP="00970D2D">
            <w:pPr>
              <w:ind w:firstLine="0"/>
              <w:jc w:val="center"/>
              <w:rPr>
                <w:rFonts w:cs="Times New Roman"/>
                <w:color w:val="auto"/>
              </w:rPr>
            </w:pPr>
            <w:r w:rsidRPr="00795299">
              <w:rPr>
                <w:rFonts w:cs="Times New Roman"/>
                <w:color w:val="auto"/>
              </w:rPr>
              <w:t xml:space="preserve"> по городу</w:t>
            </w:r>
          </w:p>
        </w:tc>
      </w:tr>
      <w:tr w:rsidR="00795299" w:rsidRPr="00795299" w:rsidTr="00970D2D">
        <w:trPr>
          <w:cantSplit/>
          <w:trHeight w:val="784"/>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Обеспечение электрической энергией, газом и паром; кондиционирование воздуха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6392</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98,1</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157597,8</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115,8</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114,6</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Обрабатывающие производства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1787</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140534,1</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115,6</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102,2</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95,4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102894,3</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109,1</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74,8</w:t>
            </w:r>
          </w:p>
        </w:tc>
      </w:tr>
    </w:tbl>
    <w:p w:rsidR="00795299" w:rsidRDefault="00795299" w:rsidP="00176FAB">
      <w:pPr>
        <w:rPr>
          <w:rFonts w:cs="Times New Roman"/>
          <w:color w:val="auto"/>
        </w:rPr>
      </w:pPr>
    </w:p>
    <w:p w:rsidR="00176FAB" w:rsidRPr="00775F2B" w:rsidRDefault="00176FAB" w:rsidP="00795299">
      <w:pPr>
        <w:ind w:firstLine="0"/>
        <w:rPr>
          <w:rFonts w:cs="Times New Roman"/>
          <w:color w:val="auto"/>
        </w:rPr>
      </w:pPr>
    </w:p>
    <w:p w:rsidR="00795299" w:rsidRPr="00795299" w:rsidRDefault="00795299" w:rsidP="00795299">
      <w:pPr>
        <w:rPr>
          <w:rFonts w:cs="Times New Roman"/>
          <w:bCs/>
          <w:color w:val="auto"/>
        </w:rPr>
      </w:pPr>
      <w:r w:rsidRPr="00795299">
        <w:rPr>
          <w:rFonts w:cs="Times New Roman"/>
          <w:color w:val="auto"/>
        </w:rPr>
        <w:t>Среднесписочная численность работников крупных и средних предприятий промышленности составила 8843 ч</w:t>
      </w:r>
      <w:r w:rsidRPr="00795299">
        <w:rPr>
          <w:rFonts w:cs="Times New Roman"/>
          <w:bCs/>
          <w:color w:val="auto"/>
        </w:rPr>
        <w:t>ел</w:t>
      </w:r>
      <w:r w:rsidRPr="00795299">
        <w:rPr>
          <w:rFonts w:cs="Times New Roman"/>
          <w:color w:val="auto"/>
        </w:rPr>
        <w:t xml:space="preserve">.  </w:t>
      </w:r>
    </w:p>
    <w:p w:rsidR="00795299" w:rsidRPr="00795299" w:rsidRDefault="00795299" w:rsidP="00795299">
      <w:pPr>
        <w:rPr>
          <w:rFonts w:cs="Times New Roman"/>
          <w:color w:val="auto"/>
        </w:rPr>
      </w:pPr>
      <w:r w:rsidRPr="00795299">
        <w:rPr>
          <w:rFonts w:cs="Times New Roman"/>
          <w:color w:val="auto"/>
        </w:rPr>
        <w:lastRenderedPageBreak/>
        <w:t>Рост заработной платы в промышленности и ее уровень существенно различается по отраслям: заработная плата в производстве электроэнергии на 14,6 % превышает среднюю зарплату по городу; в обрабатывающих производствах на 2,2 % выше средней зарплаты по городу; в сфере «Водоснабжение, деятельность по ликвидации загрязнений» - ниже на 25,2 %.</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9" w:name="_Toc127804081"/>
      <w:bookmarkStart w:id="10" w:name="_Toc213413438"/>
      <w:r w:rsidRPr="00775F2B">
        <w:rPr>
          <w:sz w:val="24"/>
          <w:szCs w:val="24"/>
        </w:rPr>
        <w:t>1.3</w:t>
      </w:r>
      <w:r w:rsidR="008339C4" w:rsidRPr="00775F2B">
        <w:rPr>
          <w:sz w:val="24"/>
          <w:szCs w:val="24"/>
        </w:rPr>
        <w:t>. Инвестиции, строительство</w:t>
      </w:r>
      <w:bookmarkEnd w:id="2"/>
      <w:bookmarkEnd w:id="3"/>
      <w:bookmarkEnd w:id="9"/>
      <w:bookmarkEnd w:id="10"/>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w:t>
      </w:r>
      <w:r w:rsidR="000A390F">
        <w:rPr>
          <w:rFonts w:cs="Times New Roman"/>
          <w:color w:val="auto"/>
        </w:rPr>
        <w:t>основной капитал</w:t>
      </w:r>
      <w:r w:rsidRPr="00775F2B">
        <w:rPr>
          <w:rFonts w:cs="Times New Roman"/>
          <w:color w:val="auto"/>
        </w:rPr>
        <w:t xml:space="preserve"> за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Pr="00775F2B">
        <w:rPr>
          <w:rFonts w:cs="Times New Roman"/>
          <w:color w:val="auto"/>
        </w:rPr>
        <w:t xml:space="preserve"> по крупным и средним организациям-инвесторам составили </w:t>
      </w:r>
      <w:r w:rsidR="000A390F">
        <w:rPr>
          <w:rFonts w:cs="Times New Roman"/>
          <w:color w:val="auto"/>
        </w:rPr>
        <w:t>33 247,8</w:t>
      </w:r>
      <w:r w:rsidR="00EB1291" w:rsidRPr="00775F2B">
        <w:rPr>
          <w:rFonts w:cs="Times New Roman"/>
          <w:color w:val="auto"/>
        </w:rPr>
        <w:t xml:space="preserve"> млн. руб., что представляет собой увеличение на </w:t>
      </w:r>
      <w:r w:rsidR="000A390F">
        <w:rPr>
          <w:rFonts w:cs="Times New Roman"/>
          <w:color w:val="auto"/>
        </w:rPr>
        <w:t>16</w:t>
      </w:r>
      <w:r w:rsidR="00EB1291" w:rsidRPr="00775F2B">
        <w:rPr>
          <w:rFonts w:cs="Times New Roman"/>
          <w:color w:val="auto"/>
        </w:rPr>
        <w:t xml:space="preserve"> % по сравнению с уровнем инвестиций </w:t>
      </w:r>
      <w:r w:rsidR="000879ED" w:rsidRPr="00775F2B">
        <w:rPr>
          <w:rFonts w:cs="Times New Roman"/>
          <w:color w:val="auto"/>
        </w:rPr>
        <w:t xml:space="preserve">за </w:t>
      </w:r>
      <w:r w:rsidR="000A390F">
        <w:rPr>
          <w:rFonts w:cs="Times New Roman"/>
          <w:color w:val="auto"/>
        </w:rPr>
        <w:t>2024 год</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документации на реконструкцию пешеходного моста через реку </w:t>
      </w:r>
      <w:r w:rsidRPr="00775F2B">
        <w:rPr>
          <w:rFonts w:cs="Times New Roman"/>
          <w:color w:val="auto"/>
        </w:rPr>
        <w:lastRenderedPageBreak/>
        <w:t>Коваш к улице Мира.</w:t>
      </w:r>
    </w:p>
    <w:p w:rsidR="00EB1291"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 xml:space="preserve">до </w:t>
      </w:r>
      <w:r w:rsidR="00B46D22">
        <w:rPr>
          <w:rFonts w:cs="Times New Roman"/>
          <w:color w:val="auto"/>
        </w:rPr>
        <w:t>20</w:t>
      </w:r>
      <w:r w:rsidRPr="00775F2B">
        <w:rPr>
          <w:rFonts w:cs="Times New Roman"/>
          <w:color w:val="auto"/>
        </w:rPr>
        <w:t>,</w:t>
      </w:r>
      <w:r w:rsidR="00B46D22">
        <w:rPr>
          <w:rFonts w:cs="Times New Roman"/>
          <w:color w:val="auto"/>
        </w:rPr>
        <w:t>8</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B46D22">
        <w:rPr>
          <w:rFonts w:cs="Times New Roman"/>
          <w:color w:val="auto"/>
        </w:rPr>
        <w:t>12,7</w:t>
      </w:r>
      <w:r w:rsidRPr="00775F2B">
        <w:rPr>
          <w:rFonts w:cs="Times New Roman"/>
          <w:color w:val="auto"/>
        </w:rPr>
        <w:t xml:space="preserve"> % </w:t>
      </w:r>
      <w:r w:rsidR="00B46D22">
        <w:rPr>
          <w:rFonts w:cs="Times New Roman"/>
          <w:color w:val="auto"/>
        </w:rPr>
        <w:t>по сравнению с предыдущим годом</w:t>
      </w:r>
      <w:r w:rsidRPr="00775F2B">
        <w:rPr>
          <w:rFonts w:cs="Times New Roman"/>
          <w:color w:val="auto"/>
        </w:rPr>
        <w:t>.</w:t>
      </w:r>
    </w:p>
    <w:p w:rsidR="00E36D57" w:rsidRPr="00775F2B" w:rsidRDefault="00E36D57" w:rsidP="00EB1291">
      <w:pPr>
        <w:rPr>
          <w:rFonts w:cs="Times New Roman"/>
          <w:color w:val="auto"/>
        </w:rPr>
      </w:pPr>
      <w:r w:rsidRPr="00E36D57">
        <w:rPr>
          <w:rStyle w:val="sc-fhsyak"/>
          <w:color w:val="auto"/>
          <w:spacing w:val="-5"/>
          <w:bdr w:val="none" w:sz="0" w:space="0" w:color="auto" w:frame="1"/>
        </w:rPr>
        <w:t>За отчётный год в округе было введено в эксплуатацию 2</w:t>
      </w:r>
      <w:r w:rsidR="00CF3976">
        <w:rPr>
          <w:rStyle w:val="sc-fhsyak"/>
          <w:color w:val="auto"/>
          <w:spacing w:val="-5"/>
          <w:bdr w:val="none" w:sz="0" w:space="0" w:color="auto" w:frame="1"/>
        </w:rPr>
        <w:t>8,9</w:t>
      </w:r>
      <w:r w:rsidRPr="00E36D57">
        <w:rPr>
          <w:rStyle w:val="sc-fhsyak"/>
          <w:color w:val="auto"/>
          <w:spacing w:val="-5"/>
          <w:bdr w:val="none" w:sz="0" w:space="0" w:color="auto" w:frame="1"/>
        </w:rPr>
        <w:t xml:space="preserve"> тыс. кв. м жилой площади, что составляет 71,4 % от уровня предыдущего года. Количество введённых квартир составило 241 единицу. Показатель ввода общей площади жилых домов на 1000 жителей округа составил </w:t>
      </w:r>
      <w:r w:rsidR="00CF3976">
        <w:rPr>
          <w:rStyle w:val="sc-fhsyak"/>
          <w:color w:val="auto"/>
          <w:spacing w:val="-5"/>
          <w:bdr w:val="none" w:sz="0" w:space="0" w:color="auto" w:frame="1"/>
        </w:rPr>
        <w:t>453,4</w:t>
      </w:r>
      <w:bookmarkStart w:id="11" w:name="_GoBack"/>
      <w:bookmarkEnd w:id="11"/>
      <w:r>
        <w:rPr>
          <w:rStyle w:val="sc-fhsyak"/>
          <w:color w:val="auto"/>
          <w:spacing w:val="-5"/>
          <w:bdr w:val="none" w:sz="0" w:space="0" w:color="auto" w:frame="1"/>
        </w:rPr>
        <w:t xml:space="preserve"> </w:t>
      </w:r>
      <w:r w:rsidRPr="00E36D57">
        <w:rPr>
          <w:rStyle w:val="sc-fhsyak"/>
          <w:color w:val="auto"/>
          <w:spacing w:val="-5"/>
          <w:bdr w:val="none" w:sz="0" w:space="0" w:color="auto" w:frame="1"/>
        </w:rPr>
        <w:t>кв. м за 2025 год.</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6F3818" w:rsidRDefault="001C6B93" w:rsidP="00215111">
      <w:pPr>
        <w:rPr>
          <w:rFonts w:cs="Times New Roman"/>
          <w:color w:val="auto"/>
        </w:rPr>
      </w:pPr>
      <w:r w:rsidRPr="006F3818">
        <w:rPr>
          <w:rFonts w:cs="Times New Roman"/>
          <w:color w:val="auto"/>
        </w:rPr>
        <w:t xml:space="preserve">Среднесписочная численность </w:t>
      </w:r>
      <w:r w:rsidR="00131E92" w:rsidRPr="006F3818">
        <w:rPr>
          <w:rFonts w:cs="Times New Roman"/>
          <w:color w:val="auto"/>
        </w:rPr>
        <w:t>работников крупных и средних предприятий сферы строительство з</w:t>
      </w:r>
      <w:r w:rsidRPr="006F3818">
        <w:rPr>
          <w:rFonts w:cs="Times New Roman"/>
          <w:color w:val="auto"/>
        </w:rPr>
        <w:t>а</w:t>
      </w:r>
      <w:r w:rsidR="00131E92" w:rsidRPr="006F3818">
        <w:rPr>
          <w:rFonts w:cs="Times New Roman"/>
          <w:color w:val="auto"/>
        </w:rPr>
        <w:t xml:space="preserve"> 2025</w:t>
      </w:r>
      <w:r w:rsidR="0031160F" w:rsidRPr="006F3818">
        <w:rPr>
          <w:rFonts w:cs="Times New Roman"/>
          <w:color w:val="auto"/>
        </w:rPr>
        <w:t xml:space="preserve"> год</w:t>
      </w:r>
      <w:r w:rsidR="00364A9B" w:rsidRPr="006F3818">
        <w:rPr>
          <w:rFonts w:cs="Times New Roman"/>
          <w:color w:val="auto"/>
        </w:rPr>
        <w:t xml:space="preserve"> </w:t>
      </w:r>
      <w:r w:rsidRPr="006F3818">
        <w:rPr>
          <w:rFonts w:cs="Times New Roman"/>
          <w:color w:val="auto"/>
        </w:rPr>
        <w:t xml:space="preserve">составила </w:t>
      </w:r>
      <w:r w:rsidR="00131E92" w:rsidRPr="006F3818">
        <w:rPr>
          <w:rFonts w:cs="Times New Roman"/>
          <w:color w:val="auto"/>
        </w:rPr>
        <w:t>4</w:t>
      </w:r>
      <w:r w:rsidR="006F3818" w:rsidRPr="006F3818">
        <w:rPr>
          <w:rFonts w:cs="Times New Roman"/>
          <w:color w:val="auto"/>
        </w:rPr>
        <w:t>927</w:t>
      </w:r>
      <w:r w:rsidR="00A4372F" w:rsidRPr="006F3818">
        <w:rPr>
          <w:rFonts w:cs="Times New Roman"/>
          <w:color w:val="auto"/>
        </w:rPr>
        <w:t xml:space="preserve"> </w:t>
      </w:r>
      <w:r w:rsidR="00DF7CB4" w:rsidRPr="006F3818">
        <w:rPr>
          <w:rFonts w:cs="Times New Roman"/>
          <w:color w:val="auto"/>
        </w:rPr>
        <w:t>человек</w:t>
      </w:r>
      <w:r w:rsidRPr="006F3818">
        <w:rPr>
          <w:rFonts w:cs="Times New Roman"/>
          <w:color w:val="auto"/>
        </w:rPr>
        <w:t xml:space="preserve">. </w:t>
      </w:r>
    </w:p>
    <w:p w:rsidR="001C6B93" w:rsidRPr="006F3818" w:rsidRDefault="001C6B93" w:rsidP="00215111">
      <w:pPr>
        <w:rPr>
          <w:rFonts w:cs="Times New Roman"/>
          <w:color w:val="auto"/>
        </w:rPr>
      </w:pPr>
      <w:r w:rsidRPr="006F3818">
        <w:rPr>
          <w:rFonts w:cs="Times New Roman"/>
          <w:color w:val="auto"/>
        </w:rPr>
        <w:t xml:space="preserve">Среднемесячная заработная плата работников крупных и средних строительных организаций </w:t>
      </w:r>
      <w:r w:rsidR="00F03378" w:rsidRPr="006F3818">
        <w:rPr>
          <w:rFonts w:cs="Times New Roman"/>
          <w:color w:val="auto"/>
        </w:rPr>
        <w:t xml:space="preserve">за </w:t>
      </w:r>
      <w:r w:rsidR="006F3818" w:rsidRPr="006F3818">
        <w:rPr>
          <w:rFonts w:cs="Times New Roman"/>
          <w:color w:val="auto"/>
        </w:rPr>
        <w:t>2025 год</w:t>
      </w:r>
      <w:r w:rsidR="00F03378" w:rsidRPr="006F3818">
        <w:rPr>
          <w:rFonts w:cs="Times New Roman"/>
          <w:color w:val="auto"/>
        </w:rPr>
        <w:t xml:space="preserve"> </w:t>
      </w:r>
      <w:r w:rsidR="006F3818" w:rsidRPr="006F3818">
        <w:rPr>
          <w:rFonts w:cs="Times New Roman"/>
          <w:color w:val="auto"/>
        </w:rPr>
        <w:t>185</w:t>
      </w:r>
      <w:r w:rsidR="00DF7CB4" w:rsidRPr="006F3818">
        <w:rPr>
          <w:rFonts w:cs="Times New Roman"/>
          <w:color w:val="auto"/>
        </w:rPr>
        <w:t xml:space="preserve"> </w:t>
      </w:r>
      <w:r w:rsidR="006F3818" w:rsidRPr="006F3818">
        <w:rPr>
          <w:rFonts w:cs="Times New Roman"/>
          <w:color w:val="auto"/>
        </w:rPr>
        <w:t>837</w:t>
      </w:r>
      <w:r w:rsidRPr="006F3818">
        <w:rPr>
          <w:rFonts w:cs="Times New Roman"/>
          <w:color w:val="auto"/>
        </w:rPr>
        <w:t xml:space="preserve"> руб., что выше среднего уровня заработной платы по крупным и средним предприятиям города на </w:t>
      </w:r>
      <w:r w:rsidR="000B555E" w:rsidRPr="006F3818">
        <w:rPr>
          <w:rFonts w:cs="Times New Roman"/>
          <w:color w:val="auto"/>
        </w:rPr>
        <w:t>28</w:t>
      </w:r>
      <w:r w:rsidR="00A4372F" w:rsidRPr="006F3818">
        <w:rPr>
          <w:rFonts w:cs="Times New Roman"/>
          <w:color w:val="auto"/>
        </w:rPr>
        <w:t xml:space="preserve"> </w:t>
      </w:r>
      <w:r w:rsidRPr="006F3818">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2" w:name="_Toc222304975"/>
      <w:bookmarkStart w:id="13" w:name="_Toc64038193"/>
      <w:bookmarkStart w:id="14" w:name="_Toc65767825"/>
      <w:bookmarkStart w:id="15" w:name="_Toc127804082"/>
      <w:bookmarkStart w:id="16" w:name="_Toc213413439"/>
      <w:bookmarkStart w:id="17" w:name="_Toc64038188"/>
      <w:bookmarkStart w:id="18" w:name="_Toc65767820"/>
      <w:r w:rsidRPr="00775F2B">
        <w:rPr>
          <w:sz w:val="24"/>
          <w:szCs w:val="24"/>
        </w:rPr>
        <w:t>1.4. Труд и занятость населения</w:t>
      </w:r>
      <w:bookmarkEnd w:id="12"/>
      <w:bookmarkEnd w:id="13"/>
      <w:bookmarkEnd w:id="14"/>
      <w:bookmarkEnd w:id="15"/>
      <w:bookmarkEnd w:id="16"/>
    </w:p>
    <w:p w:rsidR="00801443" w:rsidRPr="00775F2B" w:rsidRDefault="00801443" w:rsidP="00215111">
      <w:pPr>
        <w:pStyle w:val="a3"/>
      </w:pPr>
    </w:p>
    <w:p w:rsidR="00795299" w:rsidRPr="00795299" w:rsidRDefault="00795299" w:rsidP="00795299">
      <w:pPr>
        <w:pStyle w:val="a3"/>
        <w:ind w:firstLine="709"/>
      </w:pPr>
      <w:r w:rsidRPr="00795299">
        <w:t xml:space="preserve">Среднесписочная численность работников крупных и средних организаций Сосновоборского городского округа за 2025 год составила 25 032 человек, численность увеличилась по сравнению с предыдущим годом на 1,9 %. </w:t>
      </w:r>
    </w:p>
    <w:p w:rsidR="008161B9" w:rsidRPr="00795299" w:rsidRDefault="008161B9" w:rsidP="00A9086D">
      <w:pPr>
        <w:pStyle w:val="a3"/>
        <w:ind w:firstLine="709"/>
      </w:pPr>
    </w:p>
    <w:p w:rsidR="00A9086D" w:rsidRPr="00795299" w:rsidRDefault="00A9086D" w:rsidP="00AC6E65">
      <w:pPr>
        <w:pStyle w:val="a3"/>
        <w:ind w:firstLine="709"/>
        <w:jc w:val="center"/>
        <w:rPr>
          <w:b/>
          <w:noProof/>
          <w:lang w:eastAsia="ru-RU"/>
        </w:rPr>
      </w:pPr>
      <w:r w:rsidRPr="00795299">
        <w:rPr>
          <w:b/>
          <w:noProof/>
          <w:lang w:eastAsia="ru-RU"/>
        </w:rPr>
        <w:t>Среднесписочная численнность по основным видам деятельности</w:t>
      </w:r>
    </w:p>
    <w:p w:rsidR="00A9086D" w:rsidRPr="00795299" w:rsidRDefault="00A9086D" w:rsidP="00A9086D">
      <w:pPr>
        <w:pStyle w:val="a3"/>
        <w:ind w:firstLine="709"/>
        <w:jc w:val="right"/>
        <w:rPr>
          <w:noProof/>
          <w:lang w:eastAsia="ru-RU"/>
        </w:rPr>
      </w:pPr>
      <w:r w:rsidRPr="00795299">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95299" w:rsidRPr="00795299" w:rsidTr="00970D2D">
        <w:trPr>
          <w:trHeight w:val="459"/>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366" w:type="dxa"/>
            <w:vAlign w:val="center"/>
          </w:tcPr>
          <w:p w:rsidR="00795299" w:rsidRPr="00795299" w:rsidRDefault="00795299" w:rsidP="00970D2D">
            <w:pPr>
              <w:pStyle w:val="a3"/>
              <w:jc w:val="center"/>
              <w:rPr>
                <w:b/>
              </w:rPr>
            </w:pPr>
            <w:r w:rsidRPr="00795299">
              <w:rPr>
                <w:b/>
              </w:rPr>
              <w:t>2023 г.</w:t>
            </w:r>
          </w:p>
        </w:tc>
        <w:tc>
          <w:tcPr>
            <w:tcW w:w="1461" w:type="dxa"/>
            <w:vAlign w:val="center"/>
          </w:tcPr>
          <w:p w:rsidR="00795299" w:rsidRPr="00795299" w:rsidRDefault="00795299" w:rsidP="00970D2D">
            <w:pPr>
              <w:pStyle w:val="a3"/>
              <w:jc w:val="center"/>
              <w:rPr>
                <w:b/>
              </w:rPr>
            </w:pPr>
            <w:r w:rsidRPr="00795299">
              <w:rPr>
                <w:b/>
              </w:rPr>
              <w:t>2024 г.</w:t>
            </w:r>
          </w:p>
        </w:tc>
        <w:tc>
          <w:tcPr>
            <w:tcW w:w="1336"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pPr>
            <w:r w:rsidRPr="00795299">
              <w:t>ОБРАБАТЫВАЮЩИЕ ПРОИЗВОДСТВА</w:t>
            </w:r>
          </w:p>
        </w:tc>
        <w:tc>
          <w:tcPr>
            <w:tcW w:w="1366" w:type="dxa"/>
            <w:vAlign w:val="center"/>
          </w:tcPr>
          <w:p w:rsidR="00795299" w:rsidRPr="00795299" w:rsidRDefault="00795299" w:rsidP="00970D2D">
            <w:pPr>
              <w:pStyle w:val="a3"/>
              <w:jc w:val="center"/>
            </w:pPr>
            <w:r w:rsidRPr="00795299">
              <w:t>1672</w:t>
            </w:r>
          </w:p>
        </w:tc>
        <w:tc>
          <w:tcPr>
            <w:tcW w:w="1461" w:type="dxa"/>
            <w:vAlign w:val="center"/>
          </w:tcPr>
          <w:p w:rsidR="00795299" w:rsidRPr="00795299" w:rsidRDefault="00795299" w:rsidP="00970D2D">
            <w:pPr>
              <w:pStyle w:val="a3"/>
              <w:jc w:val="center"/>
            </w:pPr>
            <w:r w:rsidRPr="00795299">
              <w:t>1660</w:t>
            </w:r>
          </w:p>
        </w:tc>
        <w:tc>
          <w:tcPr>
            <w:tcW w:w="1336" w:type="dxa"/>
            <w:vAlign w:val="center"/>
          </w:tcPr>
          <w:p w:rsidR="00795299" w:rsidRPr="00795299" w:rsidRDefault="00795299" w:rsidP="00970D2D">
            <w:pPr>
              <w:pStyle w:val="a3"/>
              <w:jc w:val="center"/>
            </w:pPr>
            <w:r w:rsidRPr="00795299">
              <w:t>1787</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366" w:type="dxa"/>
            <w:vAlign w:val="center"/>
          </w:tcPr>
          <w:p w:rsidR="00795299" w:rsidRPr="00795299" w:rsidRDefault="00795299" w:rsidP="00970D2D">
            <w:pPr>
              <w:pStyle w:val="a3"/>
              <w:jc w:val="center"/>
            </w:pPr>
            <w:r w:rsidRPr="00795299">
              <w:t>6495</w:t>
            </w:r>
          </w:p>
        </w:tc>
        <w:tc>
          <w:tcPr>
            <w:tcW w:w="1461" w:type="dxa"/>
            <w:vAlign w:val="center"/>
          </w:tcPr>
          <w:p w:rsidR="00795299" w:rsidRPr="00795299" w:rsidRDefault="00795299" w:rsidP="00970D2D">
            <w:pPr>
              <w:pStyle w:val="a3"/>
              <w:jc w:val="center"/>
            </w:pPr>
            <w:r w:rsidRPr="00795299">
              <w:t>6516</w:t>
            </w:r>
          </w:p>
        </w:tc>
        <w:tc>
          <w:tcPr>
            <w:tcW w:w="1336" w:type="dxa"/>
            <w:vAlign w:val="center"/>
          </w:tcPr>
          <w:p w:rsidR="00795299" w:rsidRPr="00795299" w:rsidRDefault="00795299" w:rsidP="00970D2D">
            <w:pPr>
              <w:pStyle w:val="a3"/>
              <w:jc w:val="center"/>
            </w:pPr>
            <w:r w:rsidRPr="00795299">
              <w:t>6392</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795299" w:rsidRPr="00795299" w:rsidRDefault="00795299" w:rsidP="00970D2D">
            <w:pPr>
              <w:pStyle w:val="a3"/>
              <w:jc w:val="center"/>
            </w:pPr>
            <w:r w:rsidRPr="00795299">
              <w:t>616</w:t>
            </w:r>
          </w:p>
        </w:tc>
        <w:tc>
          <w:tcPr>
            <w:tcW w:w="1461" w:type="dxa"/>
            <w:vAlign w:val="center"/>
          </w:tcPr>
          <w:p w:rsidR="00795299" w:rsidRPr="00795299" w:rsidRDefault="00795299" w:rsidP="00970D2D">
            <w:pPr>
              <w:pStyle w:val="a3"/>
              <w:jc w:val="center"/>
            </w:pPr>
            <w:r w:rsidRPr="00795299">
              <w:t>598</w:t>
            </w:r>
          </w:p>
        </w:tc>
        <w:tc>
          <w:tcPr>
            <w:tcW w:w="1336" w:type="dxa"/>
            <w:vAlign w:val="center"/>
          </w:tcPr>
          <w:p w:rsidR="00795299" w:rsidRPr="00795299" w:rsidRDefault="00795299" w:rsidP="00970D2D">
            <w:pPr>
              <w:pStyle w:val="a3"/>
              <w:jc w:val="center"/>
            </w:pPr>
            <w:r w:rsidRPr="00795299">
              <w:t>664</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366" w:type="dxa"/>
            <w:vAlign w:val="center"/>
          </w:tcPr>
          <w:p w:rsidR="00795299" w:rsidRPr="00795299" w:rsidRDefault="00795299" w:rsidP="00970D2D">
            <w:pPr>
              <w:pStyle w:val="a3"/>
              <w:jc w:val="center"/>
            </w:pPr>
            <w:r w:rsidRPr="00795299">
              <w:t>3648</w:t>
            </w:r>
          </w:p>
        </w:tc>
        <w:tc>
          <w:tcPr>
            <w:tcW w:w="1461" w:type="dxa"/>
            <w:vAlign w:val="center"/>
          </w:tcPr>
          <w:p w:rsidR="00795299" w:rsidRPr="00795299" w:rsidRDefault="00795299" w:rsidP="00970D2D">
            <w:pPr>
              <w:pStyle w:val="a3"/>
              <w:jc w:val="center"/>
            </w:pPr>
            <w:r w:rsidRPr="00795299">
              <w:t>4016</w:t>
            </w:r>
          </w:p>
        </w:tc>
        <w:tc>
          <w:tcPr>
            <w:tcW w:w="1336" w:type="dxa"/>
            <w:vAlign w:val="center"/>
          </w:tcPr>
          <w:p w:rsidR="00795299" w:rsidRPr="00795299" w:rsidRDefault="00795299" w:rsidP="00970D2D">
            <w:pPr>
              <w:pStyle w:val="a3"/>
              <w:jc w:val="center"/>
            </w:pPr>
            <w:r w:rsidRPr="00795299">
              <w:t>4927</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366" w:type="dxa"/>
            <w:vAlign w:val="center"/>
          </w:tcPr>
          <w:p w:rsidR="00795299" w:rsidRPr="00795299" w:rsidRDefault="00795299" w:rsidP="00970D2D">
            <w:pPr>
              <w:pStyle w:val="a3"/>
              <w:jc w:val="center"/>
            </w:pPr>
            <w:r w:rsidRPr="00795299">
              <w:t>3236</w:t>
            </w:r>
          </w:p>
        </w:tc>
        <w:tc>
          <w:tcPr>
            <w:tcW w:w="1461" w:type="dxa"/>
            <w:vAlign w:val="center"/>
          </w:tcPr>
          <w:p w:rsidR="00795299" w:rsidRPr="00795299" w:rsidRDefault="00795299" w:rsidP="00970D2D">
            <w:pPr>
              <w:pStyle w:val="a3"/>
              <w:jc w:val="center"/>
            </w:pPr>
            <w:r w:rsidRPr="00795299">
              <w:t>3412</w:t>
            </w:r>
          </w:p>
        </w:tc>
        <w:tc>
          <w:tcPr>
            <w:tcW w:w="1336" w:type="dxa"/>
            <w:vAlign w:val="center"/>
          </w:tcPr>
          <w:p w:rsidR="00795299" w:rsidRPr="00795299" w:rsidRDefault="00795299" w:rsidP="00970D2D">
            <w:pPr>
              <w:pStyle w:val="a3"/>
              <w:jc w:val="center"/>
            </w:pPr>
            <w:r w:rsidRPr="00795299">
              <w:t>2990</w:t>
            </w:r>
          </w:p>
        </w:tc>
      </w:tr>
    </w:tbl>
    <w:p w:rsidR="00A9086D" w:rsidRPr="00775F2B" w:rsidRDefault="00A9086D" w:rsidP="00795299">
      <w:pPr>
        <w:pStyle w:val="a3"/>
      </w:pPr>
    </w:p>
    <w:p w:rsidR="00795299" w:rsidRPr="00795299" w:rsidRDefault="00795299" w:rsidP="00795299">
      <w:pPr>
        <w:rPr>
          <w:rFonts w:cs="Times New Roman"/>
          <w:color w:val="auto"/>
        </w:rPr>
      </w:pPr>
      <w:r w:rsidRPr="00795299">
        <w:rPr>
          <w:rFonts w:cs="Times New Roman"/>
          <w:color w:val="auto"/>
        </w:rPr>
        <w:lastRenderedPageBreak/>
        <w:t xml:space="preserve">Среднемесячная номинальная заработная плата работников списочного состава крупных и средних организаций округа за 2025 год выросла на 13,8 % по сравнению с предыдущим годом и составила 137 507,6 руб. </w:t>
      </w:r>
    </w:p>
    <w:p w:rsidR="00A9086D" w:rsidRPr="00775F2B" w:rsidRDefault="00A9086D" w:rsidP="00A9086D">
      <w:pPr>
        <w:rPr>
          <w:rFonts w:cs="Times New Roman"/>
          <w:color w:val="auto"/>
        </w:rPr>
      </w:pPr>
    </w:p>
    <w:p w:rsidR="00A9086D" w:rsidRDefault="00A9086D" w:rsidP="00A9086D">
      <w:pPr>
        <w:jc w:val="center"/>
        <w:rPr>
          <w:rFonts w:cs="Times New Roman"/>
          <w:b/>
          <w:noProof/>
          <w:color w:val="auto"/>
          <w:lang w:eastAsia="ru-RU"/>
        </w:rPr>
      </w:pPr>
      <w:r w:rsidRPr="00775F2B">
        <w:rPr>
          <w:rFonts w:cs="Times New Roman"/>
          <w:b/>
          <w:color w:val="auto"/>
        </w:rPr>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795299" w:rsidRPr="00795299" w:rsidRDefault="00795299" w:rsidP="00795299">
      <w:pPr>
        <w:jc w:val="right"/>
        <w:rPr>
          <w:rFonts w:cs="Times New Roman"/>
          <w:b/>
          <w:noProof/>
          <w:color w:val="auto"/>
          <w:lang w:eastAsia="ru-RU"/>
        </w:rPr>
      </w:pPr>
      <w:r w:rsidRPr="00795299">
        <w:rPr>
          <w:noProof/>
          <w:color w:val="auto"/>
          <w:lang w:eastAsia="ru-RU"/>
        </w:rPr>
        <w:t>руб.</w:t>
      </w:r>
    </w:p>
    <w:tbl>
      <w:tblPr>
        <w:tblStyle w:val="a8"/>
        <w:tblW w:w="10060" w:type="dxa"/>
        <w:tblLayout w:type="fixed"/>
        <w:tblLook w:val="04A0" w:firstRow="1" w:lastRow="0" w:firstColumn="1" w:lastColumn="0" w:noHBand="0" w:noVBand="1"/>
      </w:tblPr>
      <w:tblGrid>
        <w:gridCol w:w="5949"/>
        <w:gridCol w:w="1417"/>
        <w:gridCol w:w="1276"/>
        <w:gridCol w:w="1418"/>
      </w:tblGrid>
      <w:tr w:rsidR="00795299" w:rsidRPr="00795299" w:rsidTr="00970D2D">
        <w:trPr>
          <w:trHeight w:val="634"/>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417" w:type="dxa"/>
            <w:vAlign w:val="center"/>
          </w:tcPr>
          <w:p w:rsidR="00795299" w:rsidRPr="00795299" w:rsidRDefault="00795299" w:rsidP="00970D2D">
            <w:pPr>
              <w:pStyle w:val="a3"/>
              <w:jc w:val="center"/>
              <w:rPr>
                <w:b/>
              </w:rPr>
            </w:pPr>
            <w:r w:rsidRPr="00795299">
              <w:rPr>
                <w:b/>
              </w:rPr>
              <w:t>2023 г.</w:t>
            </w:r>
          </w:p>
        </w:tc>
        <w:tc>
          <w:tcPr>
            <w:tcW w:w="1276" w:type="dxa"/>
            <w:vAlign w:val="center"/>
          </w:tcPr>
          <w:p w:rsidR="00795299" w:rsidRPr="00795299" w:rsidRDefault="00795299" w:rsidP="00970D2D">
            <w:pPr>
              <w:pStyle w:val="a3"/>
              <w:jc w:val="center"/>
              <w:rPr>
                <w:b/>
              </w:rPr>
            </w:pPr>
            <w:r w:rsidRPr="00795299">
              <w:rPr>
                <w:b/>
              </w:rPr>
              <w:t>2024 г.</w:t>
            </w:r>
          </w:p>
        </w:tc>
        <w:tc>
          <w:tcPr>
            <w:tcW w:w="1418"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tabs>
                <w:tab w:val="left" w:pos="5895"/>
              </w:tabs>
            </w:pPr>
            <w:r w:rsidRPr="00795299">
              <w:t>ОБРАБАТЫВАЮЩИЕ ПРОИЗВОДСТВА</w:t>
            </w:r>
          </w:p>
        </w:tc>
        <w:tc>
          <w:tcPr>
            <w:tcW w:w="1417" w:type="dxa"/>
            <w:vAlign w:val="center"/>
          </w:tcPr>
          <w:p w:rsidR="00795299" w:rsidRPr="00795299" w:rsidRDefault="00795299" w:rsidP="00970D2D">
            <w:pPr>
              <w:pStyle w:val="a3"/>
              <w:jc w:val="center"/>
            </w:pPr>
            <w:r w:rsidRPr="00795299">
              <w:t>100 117,9</w:t>
            </w:r>
          </w:p>
        </w:tc>
        <w:tc>
          <w:tcPr>
            <w:tcW w:w="1276" w:type="dxa"/>
            <w:vAlign w:val="center"/>
          </w:tcPr>
          <w:p w:rsidR="00795299" w:rsidRPr="00795299" w:rsidRDefault="00795299" w:rsidP="00970D2D">
            <w:pPr>
              <w:pStyle w:val="a3"/>
              <w:jc w:val="center"/>
            </w:pPr>
            <w:r w:rsidRPr="00795299">
              <w:t>121 331,4</w:t>
            </w:r>
          </w:p>
        </w:tc>
        <w:tc>
          <w:tcPr>
            <w:tcW w:w="1418" w:type="dxa"/>
            <w:vAlign w:val="center"/>
          </w:tcPr>
          <w:p w:rsidR="00795299" w:rsidRPr="00795299" w:rsidRDefault="00795299" w:rsidP="00970D2D">
            <w:pPr>
              <w:pStyle w:val="a3"/>
              <w:jc w:val="center"/>
            </w:pPr>
            <w:r w:rsidRPr="00795299">
              <w:t>140 534,1</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417" w:type="dxa"/>
            <w:vAlign w:val="center"/>
          </w:tcPr>
          <w:p w:rsidR="00795299" w:rsidRPr="00795299" w:rsidRDefault="00795299" w:rsidP="00970D2D">
            <w:pPr>
              <w:pStyle w:val="a3"/>
              <w:jc w:val="center"/>
            </w:pPr>
            <w:r w:rsidRPr="00795299">
              <w:t>129 156,8</w:t>
            </w:r>
          </w:p>
        </w:tc>
        <w:tc>
          <w:tcPr>
            <w:tcW w:w="1276" w:type="dxa"/>
            <w:vAlign w:val="center"/>
          </w:tcPr>
          <w:p w:rsidR="00795299" w:rsidRPr="00795299" w:rsidRDefault="00795299" w:rsidP="00970D2D">
            <w:pPr>
              <w:pStyle w:val="a3"/>
              <w:jc w:val="center"/>
            </w:pPr>
            <w:r w:rsidRPr="00795299">
              <w:t>136 056,1</w:t>
            </w:r>
          </w:p>
        </w:tc>
        <w:tc>
          <w:tcPr>
            <w:tcW w:w="1418" w:type="dxa"/>
            <w:vAlign w:val="center"/>
          </w:tcPr>
          <w:p w:rsidR="00795299" w:rsidRPr="00795299" w:rsidRDefault="00795299" w:rsidP="00970D2D">
            <w:pPr>
              <w:pStyle w:val="a3"/>
              <w:jc w:val="center"/>
            </w:pPr>
            <w:r w:rsidRPr="00795299">
              <w:t>157 597,8</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795299" w:rsidRPr="00795299" w:rsidRDefault="00795299" w:rsidP="00970D2D">
            <w:pPr>
              <w:pStyle w:val="a3"/>
              <w:jc w:val="center"/>
            </w:pPr>
            <w:r w:rsidRPr="00795299">
              <w:t>79 070,0</w:t>
            </w:r>
          </w:p>
        </w:tc>
        <w:tc>
          <w:tcPr>
            <w:tcW w:w="1276" w:type="dxa"/>
            <w:vAlign w:val="center"/>
          </w:tcPr>
          <w:p w:rsidR="00795299" w:rsidRPr="00795299" w:rsidRDefault="00795299" w:rsidP="00970D2D">
            <w:pPr>
              <w:pStyle w:val="a3"/>
              <w:jc w:val="center"/>
            </w:pPr>
            <w:r w:rsidRPr="00795299">
              <w:t>94 298,9</w:t>
            </w:r>
          </w:p>
        </w:tc>
        <w:tc>
          <w:tcPr>
            <w:tcW w:w="1418" w:type="dxa"/>
            <w:vAlign w:val="center"/>
          </w:tcPr>
          <w:p w:rsidR="00795299" w:rsidRPr="00795299" w:rsidRDefault="00795299" w:rsidP="00970D2D">
            <w:pPr>
              <w:pStyle w:val="a3"/>
              <w:jc w:val="center"/>
            </w:pPr>
            <w:r w:rsidRPr="00795299">
              <w:t>102 894,3</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417" w:type="dxa"/>
            <w:vAlign w:val="center"/>
          </w:tcPr>
          <w:p w:rsidR="00795299" w:rsidRPr="00795299" w:rsidRDefault="00795299" w:rsidP="00970D2D">
            <w:pPr>
              <w:pStyle w:val="a3"/>
              <w:jc w:val="center"/>
            </w:pPr>
            <w:r w:rsidRPr="00795299">
              <w:t>139 237,4</w:t>
            </w:r>
          </w:p>
        </w:tc>
        <w:tc>
          <w:tcPr>
            <w:tcW w:w="1276" w:type="dxa"/>
            <w:vAlign w:val="center"/>
          </w:tcPr>
          <w:p w:rsidR="00795299" w:rsidRPr="00795299" w:rsidRDefault="00795299" w:rsidP="00970D2D">
            <w:pPr>
              <w:pStyle w:val="a3"/>
              <w:jc w:val="center"/>
            </w:pPr>
            <w:r w:rsidRPr="00795299">
              <w:t>170 560,7</w:t>
            </w:r>
          </w:p>
        </w:tc>
        <w:tc>
          <w:tcPr>
            <w:tcW w:w="1418" w:type="dxa"/>
            <w:vAlign w:val="center"/>
          </w:tcPr>
          <w:p w:rsidR="00795299" w:rsidRPr="00795299" w:rsidRDefault="00795299" w:rsidP="00970D2D">
            <w:pPr>
              <w:pStyle w:val="a3"/>
              <w:jc w:val="center"/>
            </w:pPr>
            <w:r w:rsidRPr="00795299">
              <w:t>185 837,5</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417" w:type="dxa"/>
            <w:vAlign w:val="center"/>
          </w:tcPr>
          <w:p w:rsidR="00795299" w:rsidRPr="00795299" w:rsidRDefault="00795299" w:rsidP="00970D2D">
            <w:pPr>
              <w:pStyle w:val="a3"/>
              <w:jc w:val="center"/>
            </w:pPr>
            <w:r w:rsidRPr="00795299">
              <w:t>119 400,4</w:t>
            </w:r>
          </w:p>
        </w:tc>
        <w:tc>
          <w:tcPr>
            <w:tcW w:w="1276" w:type="dxa"/>
            <w:vAlign w:val="center"/>
          </w:tcPr>
          <w:p w:rsidR="00795299" w:rsidRPr="00795299" w:rsidRDefault="00795299" w:rsidP="00970D2D">
            <w:pPr>
              <w:pStyle w:val="a3"/>
              <w:jc w:val="center"/>
            </w:pPr>
            <w:r w:rsidRPr="00795299">
              <w:t>130 735,2</w:t>
            </w:r>
          </w:p>
        </w:tc>
        <w:tc>
          <w:tcPr>
            <w:tcW w:w="1418" w:type="dxa"/>
            <w:vAlign w:val="center"/>
          </w:tcPr>
          <w:p w:rsidR="00795299" w:rsidRPr="00795299" w:rsidRDefault="00795299" w:rsidP="00970D2D">
            <w:pPr>
              <w:pStyle w:val="a3"/>
              <w:jc w:val="center"/>
            </w:pPr>
            <w:r w:rsidRPr="00795299">
              <w:t>140 551,1</w:t>
            </w:r>
          </w:p>
        </w:tc>
      </w:tr>
    </w:tbl>
    <w:p w:rsidR="00A9086D" w:rsidRPr="00775F2B" w:rsidRDefault="00A9086D" w:rsidP="00795299">
      <w:pPr>
        <w:pStyle w:val="a3"/>
        <w:rPr>
          <w:noProof/>
          <w:lang w:eastAsia="ru-RU"/>
        </w:rPr>
      </w:pPr>
    </w:p>
    <w:p w:rsidR="00795299" w:rsidRPr="00795299" w:rsidRDefault="00795299" w:rsidP="00795299">
      <w:pPr>
        <w:ind w:firstLine="708"/>
        <w:rPr>
          <w:rFonts w:cs="Times New Roman"/>
          <w:color w:val="auto"/>
        </w:rPr>
      </w:pPr>
      <w:r w:rsidRPr="00795299">
        <w:rPr>
          <w:rFonts w:cs="Times New Roman"/>
          <w:color w:val="auto"/>
        </w:rPr>
        <w:t>По состоянию на 01.01.2026г. по данным статистики просроченная задолженность по заработной плате отсутствует.</w:t>
      </w:r>
    </w:p>
    <w:p w:rsidR="00795299" w:rsidRPr="00795299" w:rsidRDefault="00795299" w:rsidP="00795299">
      <w:pPr>
        <w:rPr>
          <w:rFonts w:cs="Times New Roman"/>
          <w:color w:val="auto"/>
        </w:rPr>
      </w:pPr>
      <w:r w:rsidRPr="00795299">
        <w:rPr>
          <w:rFonts w:cs="Times New Roman"/>
          <w:color w:val="auto"/>
        </w:rPr>
        <w:t>Численность зарегистрированных безработных на 01.01.2026 года, имеющих статус безработного, составила 13 человек.</w:t>
      </w:r>
    </w:p>
    <w:p w:rsidR="00795299" w:rsidRPr="00795299" w:rsidRDefault="00795299" w:rsidP="00795299">
      <w:pPr>
        <w:rPr>
          <w:rFonts w:cs="Times New Roman"/>
          <w:color w:val="auto"/>
        </w:rPr>
      </w:pPr>
      <w:r w:rsidRPr="00795299">
        <w:rPr>
          <w:rFonts w:cs="Times New Roman"/>
          <w:color w:val="auto"/>
        </w:rPr>
        <w:t>Уровень безработицы сохранился на низком уровне и составил 0,04 %.</w:t>
      </w:r>
    </w:p>
    <w:p w:rsidR="00795299" w:rsidRPr="00795299" w:rsidRDefault="00795299" w:rsidP="00795299">
      <w:pPr>
        <w:rPr>
          <w:rFonts w:cs="Times New Roman"/>
          <w:color w:val="auto"/>
        </w:rPr>
      </w:pPr>
      <w:r w:rsidRPr="00795299">
        <w:rPr>
          <w:rFonts w:cs="Times New Roman"/>
          <w:color w:val="auto"/>
        </w:rPr>
        <w:t>Городской банк вакансий на 01.01.2026 года насчитывал 2179 вакансий, что составило 167 вакансии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9" w:name="_Toc127804083"/>
      <w:bookmarkStart w:id="20"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7"/>
      <w:bookmarkEnd w:id="18"/>
      <w:r w:rsidR="00CE25F9" w:rsidRPr="00775F2B">
        <w:rPr>
          <w:sz w:val="24"/>
          <w:szCs w:val="24"/>
        </w:rPr>
        <w:t>транспорт</w:t>
      </w:r>
      <w:bookmarkEnd w:id="19"/>
      <w:bookmarkEnd w:id="20"/>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lastRenderedPageBreak/>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1" w:name="_Toc64038190"/>
      <w:bookmarkStart w:id="22" w:name="_Toc65767822"/>
      <w:bookmarkStart w:id="23" w:name="_Toc127804084"/>
      <w:bookmarkStart w:id="24" w:name="_Toc213413441"/>
      <w:bookmarkStart w:id="25" w:name="_Toc64038191"/>
      <w:bookmarkStart w:id="26" w:name="_Toc65767823"/>
      <w:r w:rsidRPr="00775F2B">
        <w:rPr>
          <w:sz w:val="24"/>
          <w:szCs w:val="24"/>
        </w:rPr>
        <w:t>1.6. Потребительский рынок</w:t>
      </w:r>
      <w:bookmarkEnd w:id="21"/>
      <w:bookmarkEnd w:id="22"/>
      <w:bookmarkEnd w:id="23"/>
      <w:bookmarkEnd w:id="24"/>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7"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lastRenderedPageBreak/>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8"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5"/>
      <w:bookmarkEnd w:id="26"/>
      <w:bookmarkEnd w:id="27"/>
      <w:bookmarkEnd w:id="28"/>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w:t>
      </w:r>
      <w:r w:rsidR="00F17A0E">
        <w:rPr>
          <w:rFonts w:cs="Times New Roman"/>
          <w:color w:val="auto"/>
        </w:rPr>
        <w:t>5</w:t>
      </w:r>
      <w:r w:rsidRPr="00775F2B">
        <w:rPr>
          <w:rFonts w:cs="Times New Roman"/>
          <w:color w:val="auto"/>
        </w:rPr>
        <w:t xml:space="preserve">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D168E2"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D168E2"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lastRenderedPageBreak/>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lastRenderedPageBreak/>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lastRenderedPageBreak/>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9" w:name="_Toc64038192"/>
      <w:bookmarkStart w:id="30" w:name="_Toc65767824"/>
      <w:bookmarkStart w:id="31" w:name="_Toc127804086"/>
      <w:bookmarkStart w:id="32" w:name="_Toc213413443"/>
      <w:r w:rsidRPr="00775F2B">
        <w:rPr>
          <w:sz w:val="24"/>
          <w:szCs w:val="24"/>
        </w:rPr>
        <w:t>1.8</w:t>
      </w:r>
      <w:r w:rsidR="00DB1358" w:rsidRPr="00775F2B">
        <w:rPr>
          <w:sz w:val="24"/>
          <w:szCs w:val="24"/>
        </w:rPr>
        <w:t>. Поступления в бюджетную систему</w:t>
      </w:r>
      <w:bookmarkEnd w:id="29"/>
      <w:bookmarkEnd w:id="30"/>
      <w:bookmarkEnd w:id="31"/>
      <w:bookmarkEnd w:id="32"/>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lastRenderedPageBreak/>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795299" w:rsidRPr="00440720" w:rsidRDefault="00A87500" w:rsidP="00795299">
      <w:pPr>
        <w:ind w:firstLine="426"/>
        <w:rPr>
          <w:color w:val="00B050"/>
        </w:rPr>
      </w:pPr>
      <w:r w:rsidRPr="00775F2B">
        <w:rPr>
          <w:rFonts w:cs="Times New Roman"/>
          <w:color w:val="auto"/>
        </w:rPr>
        <w:t xml:space="preserve">3. </w:t>
      </w:r>
      <w:r w:rsidR="00795299" w:rsidRPr="00795299">
        <w:rPr>
          <w:color w:val="auto"/>
        </w:rPr>
        <w:t>Недоимка по налогам в местный бюджет по состоянию на 01.01.2026 г. составляет 24 471 тыс. руб., сравнение с началом отчётного года некорректно, так как изменилась методика расчета.</w:t>
      </w:r>
    </w:p>
    <w:p w:rsidR="00A76294" w:rsidRPr="00A76294" w:rsidRDefault="00A76294" w:rsidP="00A76294">
      <w:pPr>
        <w:rPr>
          <w:color w:val="auto"/>
        </w:rPr>
      </w:pPr>
      <w:r w:rsidRPr="00A76294">
        <w:rPr>
          <w:color w:val="auto"/>
        </w:rPr>
        <w:t>Недоимка по налогам в местный бюджет по состоянию на 01.01.2026 г. составляет   24 470,7 тыс. руб., что на 17 076,3 тыс. руб. или на 58,9% меньше, чем на 01.01.2025 г. (41 547,0 тыс. руб.).</w:t>
      </w:r>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lastRenderedPageBreak/>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lastRenderedPageBreak/>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lastRenderedPageBreak/>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lastRenderedPageBreak/>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 xml:space="preserve">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w:t>
      </w:r>
      <w:r w:rsidRPr="00775F2B">
        <w:lastRenderedPageBreak/>
        <w:t>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w:t>
      </w:r>
      <w:r w:rsidRPr="00775F2B">
        <w:rPr>
          <w:rFonts w:cs="Times New Roman"/>
          <w:color w:val="auto"/>
        </w:rPr>
        <w:lastRenderedPageBreak/>
        <w:t xml:space="preserve">(11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lastRenderedPageBreak/>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 xml:space="preserve">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w:t>
      </w:r>
      <w:r w:rsidRPr="00775F2B">
        <w:rPr>
          <w:rFonts w:cs="Times New Roman"/>
          <w:color w:val="auto"/>
        </w:rPr>
        <w:lastRenderedPageBreak/>
        <w:t>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 xml:space="preserve">м с 2 земельными участками под ним. Реконструкция и содержание </w:t>
      </w:r>
      <w:r w:rsidRPr="00775F2B">
        <w:rPr>
          <w:color w:val="auto"/>
        </w:rPr>
        <w:lastRenderedPageBreak/>
        <w:t>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lastRenderedPageBreak/>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lastRenderedPageBreak/>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w:t>
      </w:r>
      <w:r w:rsidRPr="00775F2B">
        <w:rPr>
          <w:rFonts w:eastAsia="Times New Roman" w:cs="Times New Roman"/>
          <w:color w:val="auto"/>
          <w:lang w:eastAsia="ru-RU"/>
        </w:rPr>
        <w:lastRenderedPageBreak/>
        <w:t>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 xml:space="preserve">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w:t>
      </w:r>
      <w:r w:rsidRPr="00775F2B">
        <w:rPr>
          <w:rFonts w:eastAsia="Times New Roman" w:cs="Times New Roman"/>
          <w:color w:val="auto"/>
          <w:lang w:eastAsia="ru-RU"/>
        </w:rPr>
        <w:lastRenderedPageBreak/>
        <w:t>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w:t>
            </w:r>
            <w:r w:rsidRPr="00775F2B">
              <w:rPr>
                <w:rFonts w:ascii="Times New Roman" w:hAnsi="Times New Roman" w:cs="Times New Roman"/>
                <w:b w:val="0"/>
                <w:bCs w:val="0"/>
                <w:sz w:val="24"/>
                <w:szCs w:val="24"/>
                <w:lang w:eastAsia="en-US"/>
              </w:rPr>
              <w:lastRenderedPageBreak/>
              <w:t>систем водоснабжения, теплоснабжения, 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 xml:space="preserve">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w:t>
            </w:r>
            <w:r w:rsidRPr="00775F2B">
              <w:rPr>
                <w:rFonts w:ascii="Times New Roman" w:hAnsi="Times New Roman" w:cs="Times New Roman"/>
                <w:b w:val="0"/>
                <w:bCs w:val="0"/>
                <w:sz w:val="24"/>
                <w:szCs w:val="24"/>
                <w:lang w:eastAsia="en-US"/>
              </w:rPr>
              <w:lastRenderedPageBreak/>
              <w:t>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lastRenderedPageBreak/>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w:t>
            </w:r>
            <w:r w:rsidRPr="00775F2B">
              <w:rPr>
                <w:rFonts w:ascii="Times New Roman" w:hAnsi="Times New Roman" w:cs="Times New Roman"/>
                <w:b w:val="0"/>
                <w:bCs w:val="0"/>
                <w:sz w:val="24"/>
                <w:szCs w:val="24"/>
                <w:lang w:eastAsia="en-US"/>
              </w:rPr>
              <w:lastRenderedPageBreak/>
              <w:t>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 xml:space="preserve">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w:t>
            </w:r>
            <w:r w:rsidRPr="00775F2B">
              <w:rPr>
                <w:rFonts w:cs="Times New Roman"/>
                <w:color w:val="auto"/>
              </w:rPr>
              <w:lastRenderedPageBreak/>
              <w:t>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w:t>
            </w:r>
            <w:r w:rsidRPr="00775F2B">
              <w:lastRenderedPageBreak/>
              <w:t xml:space="preserve">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lastRenderedPageBreak/>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lastRenderedPageBreak/>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lastRenderedPageBreak/>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 xml:space="preserve">Реконструкция или строительство новых объектов. Ежегодно предусматривать в бюджете средства на 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lastRenderedPageBreak/>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w:t>
            </w:r>
            <w:r w:rsidRPr="00775F2B">
              <w:rPr>
                <w:rFonts w:ascii="Times New Roman" w:eastAsia="Times New Roman" w:hAnsi="Times New Roman" w:cs="Times New Roman"/>
                <w:color w:val="auto"/>
                <w:lang w:eastAsia="ru-RU"/>
              </w:rPr>
              <w:lastRenderedPageBreak/>
              <w:t>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для софинансирования мероприятия по обеспечению жильем молодых семей </w:t>
            </w:r>
            <w:r w:rsidRPr="00775F2B">
              <w:rPr>
                <w:rFonts w:ascii="Times New Roman" w:eastAsia="Times New Roman" w:hAnsi="Times New Roman" w:cs="Times New Roman"/>
                <w:color w:val="auto"/>
                <w:lang w:eastAsia="ru-RU"/>
              </w:rPr>
              <w:lastRenderedPageBreak/>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Предоставлена социальная выплата 2 семьям. Семьи направили средства социальной выплаты на </w:t>
            </w:r>
            <w:r w:rsidRPr="00775F2B">
              <w:rPr>
                <w:rFonts w:ascii="Times New Roman" w:eastAsia="Times New Roman" w:hAnsi="Times New Roman" w:cs="Times New Roman"/>
                <w:color w:val="auto"/>
                <w:lang w:eastAsia="ru-RU"/>
              </w:rPr>
              <w:lastRenderedPageBreak/>
              <w:t>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 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lastRenderedPageBreak/>
              <w:t>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w:t>
      </w:r>
      <w:r w:rsidRPr="00775F2B">
        <w:rPr>
          <w:rFonts w:ascii="Times New Roman" w:hAnsi="Times New Roman" w:cs="Times New Roman"/>
          <w:sz w:val="24"/>
          <w:szCs w:val="24"/>
        </w:rPr>
        <w:lastRenderedPageBreak/>
        <w:t>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lastRenderedPageBreak/>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пестицидов и агрохимикатов, пришедших в негодность или запрещённых к применению и по вопросу 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lastRenderedPageBreak/>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lastRenderedPageBreak/>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lastRenderedPageBreak/>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lastRenderedPageBreak/>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lastRenderedPageBreak/>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 xml:space="preserve">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w:t>
      </w:r>
      <w:r w:rsidRPr="00775F2B">
        <w:rPr>
          <w:rFonts w:eastAsia="Times New Roman" w:cs="Times New Roman"/>
          <w:color w:val="auto"/>
          <w:lang w:eastAsia="ru-RU"/>
        </w:rPr>
        <w:lastRenderedPageBreak/>
        <w:t>«Сосновоборский медвежонок», конкурс детской рукописной книги «Я с детства с книгами 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w:t>
      </w:r>
      <w:r w:rsidRPr="00775F2B">
        <w:rPr>
          <w:rFonts w:eastAsia="Times New Roman" w:cs="Times New Roman"/>
          <w:bCs/>
          <w:color w:val="auto"/>
          <w:lang w:eastAsia="ru-RU"/>
        </w:rPr>
        <w:lastRenderedPageBreak/>
        <w:t>«Чайка»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lastRenderedPageBreak/>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2.Неблагоприятные тенденции медико-демографических показателей, болезненности и </w:t>
            </w:r>
            <w:r w:rsidRPr="00775F2B">
              <w:rPr>
                <w:rFonts w:eastAsia="Times New Roman" w:cs="Times New Roman"/>
                <w:color w:val="auto"/>
                <w:lang w:eastAsia="ru-RU"/>
              </w:rPr>
              <w:lastRenderedPageBreak/>
              <w:t>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w:t>
      </w:r>
      <w:r w:rsidRPr="00775F2B">
        <w:rPr>
          <w:rFonts w:eastAsia="Times New Roman" w:cs="Times New Roman"/>
          <w:color w:val="auto"/>
          <w:lang w:eastAsia="ru-RU"/>
        </w:rPr>
        <w:lastRenderedPageBreak/>
        <w:t xml:space="preserve">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lastRenderedPageBreak/>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w:t>
      </w:r>
      <w:r w:rsidRPr="00775F2B">
        <w:rPr>
          <w:rFonts w:cs="Times New Roman"/>
          <w:color w:val="auto"/>
          <w:lang w:eastAsia="ru-RU"/>
        </w:rPr>
        <w:lastRenderedPageBreak/>
        <w:t xml:space="preserve">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w:t>
      </w:r>
      <w:r w:rsidRPr="00775F2B">
        <w:rPr>
          <w:rFonts w:cs="Times New Roman"/>
          <w:color w:val="auto"/>
          <w:lang w:eastAsia="ru-RU"/>
        </w:rPr>
        <w:lastRenderedPageBreak/>
        <w:t xml:space="preserve">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 xml:space="preserve">В МБУ «Сосновоборская ЦБС» установлен АИТП с коммерческим узлом </w:t>
            </w:r>
            <w:r w:rsidRPr="00775F2B">
              <w:rPr>
                <w:rFonts w:cs="Times New Roman"/>
                <w:color w:val="auto"/>
                <w:lang w:eastAsia="ru-RU"/>
              </w:rPr>
              <w:lastRenderedPageBreak/>
              <w:t>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lastRenderedPageBreak/>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lastRenderedPageBreak/>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lastRenderedPageBreak/>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lastRenderedPageBreak/>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 xml:space="preserve">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w:t>
      </w:r>
      <w:r w:rsidRPr="00775F2B">
        <w:rPr>
          <w:rFonts w:eastAsia="Times New Roman" w:cs="Times New Roman"/>
          <w:color w:val="auto"/>
          <w:lang w:eastAsia="ru-RU"/>
        </w:rPr>
        <w:lastRenderedPageBreak/>
        <w:t>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lastRenderedPageBreak/>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E2" w:rsidRDefault="00D168E2" w:rsidP="007F18C8">
      <w:r>
        <w:separator/>
      </w:r>
    </w:p>
  </w:endnote>
  <w:endnote w:type="continuationSeparator" w:id="0">
    <w:p w:rsidR="00D168E2" w:rsidRDefault="00D168E2"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B46D22" w:rsidRDefault="00B46D22"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c"/>
      <w:jc w:val="right"/>
    </w:pPr>
    <w:r>
      <w:fldChar w:fldCharType="begin"/>
    </w:r>
    <w:r>
      <w:instrText xml:space="preserve"> PAGE   \* MERGEFORMAT </w:instrText>
    </w:r>
    <w:r>
      <w:fldChar w:fldCharType="separate"/>
    </w:r>
    <w:r w:rsidR="00CF3976">
      <w:rPr>
        <w:noProof/>
      </w:rPr>
      <w:t>21</w:t>
    </w:r>
    <w:r>
      <w:rPr>
        <w:noProof/>
      </w:rPr>
      <w:fldChar w:fldCharType="end"/>
    </w:r>
  </w:p>
  <w:p w:rsidR="00B46D22" w:rsidRDefault="00B46D22"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E2" w:rsidRDefault="00D168E2" w:rsidP="007F18C8">
      <w:r>
        <w:separator/>
      </w:r>
    </w:p>
  </w:footnote>
  <w:footnote w:type="continuationSeparator" w:id="0">
    <w:p w:rsidR="00D168E2" w:rsidRDefault="00D168E2" w:rsidP="007F18C8">
      <w:r>
        <w:continuationSeparator/>
      </w:r>
    </w:p>
  </w:footnote>
  <w:footnote w:id="1">
    <w:p w:rsidR="00B46D22" w:rsidRDefault="00B46D22"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B46D22" w:rsidRPr="00000674" w:rsidRDefault="00B46D22"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90F"/>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619"/>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59B"/>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18"/>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299"/>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975"/>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294"/>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22"/>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70"/>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A2"/>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04E"/>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76"/>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0D83"/>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8E2"/>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D57"/>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0E"/>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B8D"/>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6324585D"/>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E305-48B9-8E2B-30165FE9735D}"/>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E305-48B9-8E2B-30165FE9735D}"/>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E305-48B9-8E2B-30165FE9735D}"/>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103844</c:v>
                </c:pt>
                <c:pt idx="1">
                  <c:v>129653</c:v>
                </c:pt>
              </c:numCache>
            </c:numRef>
          </c:val>
          <c:extLst>
            <c:ext xmlns:c16="http://schemas.microsoft.com/office/drawing/2014/chart" uri="{C3380CC4-5D6E-409C-BE32-E72D297353CC}">
              <c16:uniqueId val="{00000003-E305-48B9-8E2B-30165FE9735D}"/>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E305-48B9-8E2B-30165FE9735D}"/>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5-48B9-8E2B-30165FE9735D}"/>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Sheet1!$B$3:$C$3</c:f>
              <c:numCache>
                <c:formatCode>General</c:formatCode>
                <c:ptCount val="2"/>
                <c:pt idx="0">
                  <c:v>14796</c:v>
                </c:pt>
                <c:pt idx="1">
                  <c:v>11752</c:v>
                </c:pt>
              </c:numCache>
            </c:numRef>
          </c:val>
          <c:extLst>
            <c:ext xmlns:c16="http://schemas.microsoft.com/office/drawing/2014/chart" uri="{C3380CC4-5D6E-409C-BE32-E72D297353CC}">
              <c16:uniqueId val="{00000007-E305-48B9-8E2B-30165FE9735D}"/>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E305-48B9-8E2B-30165FE9735D}"/>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305-48B9-8E2B-30165FE9735D}"/>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Sheet1!$B$4:$C$4</c:f>
              <c:numCache>
                <c:formatCode>General</c:formatCode>
                <c:ptCount val="2"/>
                <c:pt idx="0">
                  <c:v>3248</c:v>
                </c:pt>
                <c:pt idx="1">
                  <c:v>2911</c:v>
                </c:pt>
              </c:numCache>
            </c:numRef>
          </c:val>
          <c:extLst>
            <c:ext xmlns:c16="http://schemas.microsoft.com/office/drawing/2014/chart" uri="{C3380CC4-5D6E-409C-BE32-E72D297353CC}">
              <c16:uniqueId val="{0000000B-E305-48B9-8E2B-30165FE9735D}"/>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2024 г.</c:v>
                </c:pt>
                <c:pt idx="1">
                  <c:v>за  2025 г.</c:v>
                </c:pt>
              </c:strCache>
            </c:strRef>
          </c:cat>
          <c:val>
            <c:numRef>
              <c:f>Sheet1!$B$2:$C$2</c:f>
              <c:numCache>
                <c:formatCode>General</c:formatCode>
                <c:ptCount val="2"/>
                <c:pt idx="0">
                  <c:v>28530</c:v>
                </c:pt>
                <c:pt idx="1">
                  <c:v>33247</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 2024 г.</c:v>
                </c:pt>
                <c:pt idx="1">
                  <c:v> 2025 г.</c:v>
                </c:pt>
              </c:strCache>
            </c:strRef>
          </c:cat>
          <c:val>
            <c:numRef>
              <c:f>Sheet1!$B$2:$C$2</c:f>
              <c:numCache>
                <c:formatCode>#,##0</c:formatCode>
                <c:ptCount val="2"/>
                <c:pt idx="0">
                  <c:v>16904</c:v>
                </c:pt>
                <c:pt idx="1">
                  <c:v>20896</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8F4C7-82CE-45E3-830D-FE3EDA46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70</Pages>
  <Words>31774</Words>
  <Characters>181114</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212464</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11</cp:revision>
  <cp:lastPrinted>2026-02-02T09:33:00Z</cp:lastPrinted>
  <dcterms:created xsi:type="dcterms:W3CDTF">2026-02-05T09:18:00Z</dcterms:created>
  <dcterms:modified xsi:type="dcterms:W3CDTF">2026-06-26T13:46:00Z</dcterms:modified>
</cp:coreProperties>
</file>