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6" w:rsidRDefault="00F24E46"/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035E20" w:rsidRPr="0098432C" w:rsidRDefault="00035E20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Pr="00035E20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329"/>
      <w:bookmarkEnd w:id="0"/>
      <w:r w:rsidRPr="00035E20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2C">
        <w:rPr>
          <w:rFonts w:ascii="Times New Roman" w:hAnsi="Times New Roman" w:cs="Times New Roman"/>
          <w:b/>
          <w:sz w:val="28"/>
          <w:szCs w:val="28"/>
          <w:u w:val="single"/>
        </w:rPr>
        <w:t>Воронкова Михаила В</w:t>
      </w:r>
      <w:r w:rsidR="003E26D6">
        <w:rPr>
          <w:rFonts w:ascii="Times New Roman" w:hAnsi="Times New Roman" w:cs="Times New Roman"/>
          <w:b/>
          <w:sz w:val="28"/>
          <w:szCs w:val="28"/>
          <w:u w:val="single"/>
        </w:rPr>
        <w:t>асильевича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(фамилия, имя, отчество главы администрации городского округа)</w:t>
      </w:r>
    </w:p>
    <w:p w:rsidR="00846B16" w:rsidRPr="0098432C" w:rsidRDefault="003E26D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</w:t>
      </w:r>
      <w:r w:rsidR="00846B16" w:rsidRPr="0098432C">
        <w:rPr>
          <w:rFonts w:ascii="Times New Roman" w:hAnsi="Times New Roman" w:cs="Times New Roman"/>
          <w:b/>
          <w:sz w:val="28"/>
          <w:szCs w:val="28"/>
          <w:u w:val="single"/>
        </w:rPr>
        <w:t>Сосновоборского городского округа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846B16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2C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2C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городского округа </w:t>
      </w:r>
    </w:p>
    <w:p w:rsidR="00846B16" w:rsidRPr="0098432C" w:rsidRDefault="005A2C09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846B16" w:rsidRPr="0098432C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</w:t>
      </w:r>
      <w:proofErr w:type="gramStart"/>
      <w:r w:rsidR="00846B16" w:rsidRPr="0098432C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  <w:r w:rsidR="00846B16" w:rsidRPr="0098432C">
        <w:rPr>
          <w:rFonts w:ascii="Times New Roman" w:hAnsi="Times New Roman" w:cs="Times New Roman"/>
          <w:b/>
          <w:sz w:val="28"/>
          <w:szCs w:val="28"/>
        </w:rPr>
        <w:t xml:space="preserve"> на трехлетний период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B16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6B16" w:rsidRPr="0098432C" w:rsidRDefault="00846B16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(подпись)</w:t>
      </w:r>
    </w:p>
    <w:p w:rsidR="00846B16" w:rsidRPr="0098432C" w:rsidRDefault="0076454D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454D">
        <w:rPr>
          <w:rFonts w:ascii="Times New Roman" w:hAnsi="Times New Roman" w:cs="Times New Roman"/>
          <w:sz w:val="24"/>
          <w:szCs w:val="24"/>
        </w:rPr>
        <w:t>28</w:t>
      </w:r>
      <w:r w:rsidR="005A2C09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846B16" w:rsidRPr="009843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4CD" w:rsidRDefault="002104CD"/>
    <w:p w:rsidR="004C3479" w:rsidRDefault="004C3479"/>
    <w:p w:rsidR="004C3479" w:rsidRPr="00547E1A" w:rsidRDefault="004C3479"/>
    <w:p w:rsidR="004300C3" w:rsidRDefault="004300C3">
      <w:pPr>
        <w:rPr>
          <w:sz w:val="36"/>
          <w:szCs w:val="36"/>
        </w:rPr>
      </w:pPr>
    </w:p>
    <w:p w:rsidR="006E5DC0" w:rsidRDefault="006E5DC0" w:rsidP="006E5DC0">
      <w:pPr>
        <w:pageBreakBefore/>
        <w:jc w:val="center"/>
        <w:rPr>
          <w:rFonts w:eastAsia="Times New Roman"/>
          <w:b/>
          <w:bCs/>
          <w:lang w:eastAsia="ru-RU"/>
        </w:rPr>
        <w:sectPr w:rsidR="006E5DC0" w:rsidSect="00846B16">
          <w:pgSz w:w="11905" w:h="16838" w:code="9"/>
          <w:pgMar w:top="1134" w:right="851" w:bottom="1134" w:left="1304" w:header="0" w:footer="284" w:gutter="0"/>
          <w:cols w:space="708"/>
          <w:titlePg/>
          <w:docGrid w:linePitch="326"/>
        </w:sectPr>
      </w:pPr>
    </w:p>
    <w:p w:rsidR="006E5DC0" w:rsidRDefault="006E5DC0" w:rsidP="006E5DC0">
      <w:pPr>
        <w:pageBreakBefore/>
        <w:jc w:val="center"/>
        <w:rPr>
          <w:rFonts w:eastAsia="Times New Roman"/>
          <w:b/>
          <w:bCs/>
          <w:lang w:eastAsia="ru-RU"/>
        </w:rPr>
      </w:pPr>
      <w:r w:rsidRPr="004C3479">
        <w:rPr>
          <w:rFonts w:eastAsia="Times New Roman"/>
          <w:b/>
          <w:bCs/>
          <w:lang w:eastAsia="ru-RU"/>
        </w:rPr>
        <w:lastRenderedPageBreak/>
        <w:t>I. Показатели эффективности деятельности органов местного самоуправления Сосновоборского городского округа</w:t>
      </w:r>
    </w:p>
    <w:p w:rsidR="006E5DC0" w:rsidRDefault="006E5DC0" w:rsidP="007E6690"/>
    <w:tbl>
      <w:tblPr>
        <w:tblW w:w="157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06"/>
        <w:gridCol w:w="4554"/>
        <w:gridCol w:w="1701"/>
        <w:gridCol w:w="1134"/>
        <w:gridCol w:w="1134"/>
        <w:gridCol w:w="1134"/>
        <w:gridCol w:w="1134"/>
        <w:gridCol w:w="1134"/>
        <w:gridCol w:w="1185"/>
        <w:gridCol w:w="1985"/>
      </w:tblGrid>
      <w:tr w:rsidR="00707176" w:rsidRPr="00A44F03" w:rsidTr="00C5039D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I. Экономическое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134045,00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</w:t>
            </w:r>
            <w:r w:rsidR="0017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Среднемесячная номинальная начисленная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работников: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муниципальныx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49259,30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51229,70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учителей муниципальныx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49197,60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51167,20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44796,32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47067,66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48950,37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43533,00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II. 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III. Общее и дополнительное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сдававших единый государственный экзамен по данным </w:t>
            </w:r>
            <w:proofErr w:type="spell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предметамм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C5039D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2021 году </w:t>
            </w:r>
            <w:proofErr w:type="spellStart"/>
            <w:proofErr w:type="gramStart"/>
            <w:r w:rsidRPr="00C50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плани-руется</w:t>
            </w:r>
            <w:proofErr w:type="spellEnd"/>
            <w:proofErr w:type="gramEnd"/>
            <w:r w:rsidRPr="00C50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реновация Школы № 4. В 2022-2023 годах реновация не запланирована</w:t>
            </w: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детей данной возрастной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IV.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клубами и учреждений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V.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VI. Жилищное строительство и обеспечение граждан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введенная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действие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 в расчете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10 тыс. человек населения,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VII.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</w:t>
            </w:r>
            <w:proofErr w:type="spell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процентов, в общем числе организаций коммунального комплекса,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VIII. Организация муниципального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(включая начисления на оплату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2524,93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=Д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/ 0=Нет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IX. 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кВт/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кВт/</w:t>
            </w: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человека </w:t>
            </w: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176" w:rsidRPr="00A44F03" w:rsidTr="00C5039D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4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EC" w:rsidRPr="00A44F03" w:rsidRDefault="00F260EC" w:rsidP="00A44F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70AC" w:rsidRDefault="005670AC" w:rsidP="00F260EC"/>
    <w:p w:rsidR="005670AC" w:rsidRDefault="005670AC" w:rsidP="00F260EC"/>
    <w:p w:rsidR="005670AC" w:rsidRDefault="005670AC" w:rsidP="00F260EC">
      <w:pPr>
        <w:sectPr w:rsidR="005670AC" w:rsidSect="00323581">
          <w:pgSz w:w="16838" w:h="11905" w:orient="landscape" w:code="9"/>
          <w:pgMar w:top="1304" w:right="680" w:bottom="964" w:left="680" w:header="0" w:footer="284" w:gutter="0"/>
          <w:cols w:space="708"/>
          <w:docGrid w:linePitch="326"/>
        </w:sectPr>
      </w:pPr>
    </w:p>
    <w:p w:rsidR="005670AC" w:rsidRPr="00A268AF" w:rsidRDefault="005670AC" w:rsidP="005670AC"/>
    <w:p w:rsidR="005670AC" w:rsidRPr="00A268AF" w:rsidRDefault="005670AC" w:rsidP="005670AC"/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AF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AF">
        <w:rPr>
          <w:rFonts w:ascii="Times New Roman" w:hAnsi="Times New Roman" w:cs="Times New Roman"/>
          <w:b/>
          <w:sz w:val="28"/>
          <w:szCs w:val="28"/>
          <w:u w:val="single"/>
        </w:rPr>
        <w:t>Воронкова Михаила Васильевича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8AF">
        <w:rPr>
          <w:rFonts w:ascii="Times New Roman" w:hAnsi="Times New Roman" w:cs="Times New Roman"/>
          <w:sz w:val="24"/>
          <w:szCs w:val="24"/>
        </w:rPr>
        <w:t>(фамилия, имя, отчество главы администрации городского округа)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AF">
        <w:rPr>
          <w:rFonts w:ascii="Times New Roman" w:hAnsi="Times New Roman" w:cs="Times New Roman"/>
          <w:b/>
          <w:sz w:val="28"/>
          <w:szCs w:val="28"/>
          <w:u w:val="single"/>
        </w:rPr>
        <w:t>главы Сосновоборского городского округа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8AF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AF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AF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городского округа 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AF">
        <w:rPr>
          <w:rFonts w:ascii="Times New Roman" w:hAnsi="Times New Roman" w:cs="Times New Roman"/>
          <w:b/>
          <w:sz w:val="28"/>
          <w:szCs w:val="28"/>
        </w:rPr>
        <w:t xml:space="preserve">за 2020 год и их планируемых </w:t>
      </w:r>
      <w:proofErr w:type="gramStart"/>
      <w:r w:rsidRPr="00A268AF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  <w:r w:rsidRPr="00A268AF">
        <w:rPr>
          <w:rFonts w:ascii="Times New Roman" w:hAnsi="Times New Roman" w:cs="Times New Roman"/>
          <w:b/>
          <w:sz w:val="28"/>
          <w:szCs w:val="28"/>
        </w:rPr>
        <w:t xml:space="preserve"> на трехлетний период</w:t>
      </w: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0AC" w:rsidRPr="00A268AF" w:rsidRDefault="005670AC" w:rsidP="00567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0AC" w:rsidRPr="00A268AF" w:rsidRDefault="005670AC" w:rsidP="005670AC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8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70AC" w:rsidRPr="00A268AF" w:rsidRDefault="005670AC" w:rsidP="005670AC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8AF">
        <w:rPr>
          <w:rFonts w:ascii="Times New Roman" w:hAnsi="Times New Roman" w:cs="Times New Roman"/>
          <w:sz w:val="24"/>
          <w:szCs w:val="24"/>
        </w:rPr>
        <w:t>(подпись)</w:t>
      </w:r>
    </w:p>
    <w:p w:rsidR="005670AC" w:rsidRPr="00A268AF" w:rsidRDefault="0076454D" w:rsidP="005670AC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670AC" w:rsidRPr="00A268AF">
        <w:rPr>
          <w:rFonts w:ascii="Times New Roman" w:hAnsi="Times New Roman" w:cs="Times New Roman"/>
          <w:sz w:val="24"/>
          <w:szCs w:val="24"/>
        </w:rPr>
        <w:t xml:space="preserve"> апреля 2021 года</w:t>
      </w:r>
    </w:p>
    <w:p w:rsidR="005670AC" w:rsidRPr="00A268AF" w:rsidRDefault="005670AC" w:rsidP="005670AC">
      <w:pPr>
        <w:pStyle w:val="ConsPlusNormal"/>
        <w:jc w:val="both"/>
        <w:rPr>
          <w:szCs w:val="24"/>
        </w:rPr>
      </w:pPr>
    </w:p>
    <w:p w:rsidR="005670AC" w:rsidRPr="00A268AF" w:rsidRDefault="005670AC" w:rsidP="005670AC">
      <w:pPr>
        <w:pStyle w:val="ConsPlusNormal"/>
        <w:jc w:val="both"/>
        <w:rPr>
          <w:szCs w:val="24"/>
        </w:rPr>
      </w:pP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t xml:space="preserve">Основные сведения о городском округе </w:t>
      </w: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t xml:space="preserve">и </w:t>
      </w:r>
      <w:proofErr w:type="gramStart"/>
      <w:r w:rsidRPr="00A268AF">
        <w:rPr>
          <w:b/>
          <w:sz w:val="28"/>
          <w:szCs w:val="28"/>
        </w:rPr>
        <w:t>органах</w:t>
      </w:r>
      <w:proofErr w:type="gramEnd"/>
      <w:r w:rsidRPr="00A268AF">
        <w:rPr>
          <w:b/>
          <w:sz w:val="28"/>
          <w:szCs w:val="28"/>
        </w:rPr>
        <w:t xml:space="preserve"> местного самоуправления городского округа</w:t>
      </w:r>
    </w:p>
    <w:p w:rsidR="005670AC" w:rsidRPr="00A268AF" w:rsidRDefault="005670AC" w:rsidP="005670AC">
      <w:pPr>
        <w:pStyle w:val="ConsPlusNormal"/>
        <w:jc w:val="center"/>
        <w:rPr>
          <w:b/>
          <w:szCs w:val="24"/>
        </w:rPr>
      </w:pP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Муниципальное образование Сосновоборский городской округ Ленинградской области образовано (установлены его границы, присвоен соответствующий статус, определен административный центр) областным законом от 15.06.2010 № 32-оз «Об административно-территориальном устройстве Ленинградской области и порядке его изменения».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Административный центр Сосновоборского городского округа – город Сосновый Бор.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Преобразований городского округа, принятых областными законами после 2005 года, не было.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Площадь Сосновоборского городского округа по состоянию на 31 декабря отчетного года – 88,4 кв. км.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Население Сосновоборского городского округа по состоянию на 31 декабря отчетного года – 67,1 тыс. чел., все население городское.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Представительный орган – совет депутатов Сосновоборского городского округа формируется на муниципальных выборах, действующий состав совета депутатов избран 8 сентября 2019 года на 5 лет, число депутатов – 20 человек по Уставу, фактически по состоянию на 31 декабря отчетного года – 20 человек.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 xml:space="preserve">Администрацию Сосновоборского городского округа возглавляет глава округа, </w:t>
      </w:r>
      <w:proofErr w:type="gramStart"/>
      <w:r w:rsidRPr="00A268AF">
        <w:rPr>
          <w:szCs w:val="24"/>
        </w:rPr>
        <w:t>избираемый</w:t>
      </w:r>
      <w:proofErr w:type="gramEnd"/>
      <w:r w:rsidRPr="00A268AF">
        <w:rPr>
          <w:szCs w:val="24"/>
        </w:rPr>
        <w:t xml:space="preserve"> из состава депутатов. Действовавший в отчетном году глава округа Воронков Михаил Васильевич избран на заседании совета депутатов округа 19 сентября 2019 года.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proofErr w:type="gramStart"/>
      <w:r w:rsidRPr="00A268AF">
        <w:rPr>
          <w:szCs w:val="24"/>
        </w:rPr>
        <w:t>Общая численность работников органов местного самоуправления по состоянию на 31 декабря отчетного года 154 чел., в том числе замещающих муниципальные должности 1 чел. Общая фактическая численность муниципальных служащих 127 чел., в том числе исполняющих собственные полномочия муниципального образования 115 чел., исполняющих переданные государственные полномочия 12 чел., исполняющих полномочия иных муниципальных образований, переданные соглашениями, нет.</w:t>
      </w:r>
      <w:proofErr w:type="gramEnd"/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>Официальное печатное издание для опубликования правовых актов органов местного самоуправления – Сосновоборская городская газета «Маяк».</w:t>
      </w:r>
    </w:p>
    <w:p w:rsidR="005670AC" w:rsidRPr="00A268AF" w:rsidRDefault="005670AC" w:rsidP="005670AC">
      <w:pPr>
        <w:pStyle w:val="ConsPlusNormal"/>
        <w:ind w:firstLine="709"/>
        <w:jc w:val="both"/>
        <w:rPr>
          <w:szCs w:val="24"/>
        </w:rPr>
      </w:pPr>
      <w:r w:rsidRPr="00A268AF">
        <w:rPr>
          <w:szCs w:val="24"/>
        </w:rPr>
        <w:t xml:space="preserve">Официальный сайт органа местного самоуправления в сети "Интернет": </w:t>
      </w:r>
      <w:hyperlink r:id="rId7" w:history="1">
        <w:r w:rsidRPr="00A268AF">
          <w:rPr>
            <w:rStyle w:val="a3"/>
            <w:color w:val="auto"/>
            <w:szCs w:val="24"/>
          </w:rPr>
          <w:t>http://www.sbor.ru/</w:t>
        </w:r>
      </w:hyperlink>
      <w:r w:rsidRPr="00A268AF">
        <w:rPr>
          <w:szCs w:val="24"/>
        </w:rPr>
        <w:t xml:space="preserve">, электронный адрес органа местного самоуправления: </w:t>
      </w:r>
      <w:hyperlink r:id="rId8" w:history="1">
        <w:r w:rsidRPr="00A268AF">
          <w:rPr>
            <w:rStyle w:val="a3"/>
            <w:color w:val="auto"/>
            <w:szCs w:val="24"/>
          </w:rPr>
          <w:t>admsb@meria.sbor.ru</w:t>
        </w:r>
      </w:hyperlink>
      <w:r w:rsidRPr="00A268AF">
        <w:rPr>
          <w:szCs w:val="24"/>
        </w:rPr>
        <w:t xml:space="preserve"> </w:t>
      </w:r>
    </w:p>
    <w:p w:rsidR="005670AC" w:rsidRPr="00A268AF" w:rsidRDefault="005670AC" w:rsidP="005670AC">
      <w:pPr>
        <w:pStyle w:val="ConsPlusNormal"/>
        <w:jc w:val="center"/>
        <w:rPr>
          <w:b/>
          <w:szCs w:val="24"/>
        </w:rPr>
      </w:pP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lastRenderedPageBreak/>
        <w:t xml:space="preserve">Состояние муниципального образования в отчетном году, </w:t>
      </w: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t xml:space="preserve">динамика развития за два года, предшествующих </w:t>
      </w:r>
      <w:proofErr w:type="gramStart"/>
      <w:r w:rsidRPr="00A268AF">
        <w:rPr>
          <w:b/>
          <w:sz w:val="28"/>
          <w:szCs w:val="28"/>
        </w:rPr>
        <w:t>отчетному</w:t>
      </w:r>
      <w:proofErr w:type="gramEnd"/>
      <w:r w:rsidRPr="00A268AF">
        <w:rPr>
          <w:b/>
          <w:sz w:val="28"/>
          <w:szCs w:val="28"/>
        </w:rPr>
        <w:t xml:space="preserve">, </w:t>
      </w:r>
    </w:p>
    <w:p w:rsidR="005670AC" w:rsidRPr="00A268AF" w:rsidRDefault="005670AC" w:rsidP="005670AC">
      <w:pPr>
        <w:pStyle w:val="ConsPlusNormal"/>
        <w:jc w:val="center"/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t>и прогноз на трехлетний период</w:t>
      </w:r>
    </w:p>
    <w:p w:rsidR="005670AC" w:rsidRPr="00A268AF" w:rsidRDefault="005670AC" w:rsidP="005670AC">
      <w:pPr>
        <w:pStyle w:val="ConsPlusNormal"/>
        <w:jc w:val="center"/>
        <w:rPr>
          <w:sz w:val="28"/>
          <w:szCs w:val="28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I</w:t>
      </w:r>
      <w:r w:rsidRPr="00A268AF">
        <w:rPr>
          <w:rFonts w:eastAsia="Times New Roman"/>
          <w:b/>
          <w:sz w:val="28"/>
          <w:szCs w:val="28"/>
          <w:lang w:eastAsia="ru-RU"/>
        </w:rPr>
        <w:t>. Экономическое развитие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eastAsia="ru-RU"/>
        </w:rPr>
        <w:t>Характеристика отрасли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lang w:eastAsia="ru-RU"/>
        </w:rPr>
      </w:pPr>
    </w:p>
    <w:p w:rsidR="005670AC" w:rsidRPr="00A268AF" w:rsidRDefault="005670AC" w:rsidP="005670AC">
      <w:pPr>
        <w:ind w:firstLine="709"/>
        <w:contextualSpacing/>
      </w:pPr>
      <w:r w:rsidRPr="00A268AF">
        <w:rPr>
          <w:b/>
        </w:rPr>
        <w:t>Оборот</w:t>
      </w:r>
      <w:r w:rsidRPr="00A268AF">
        <w:t xml:space="preserve"> крупных и средних предприятий за 2020 год составил 149,4 млрд. руб., по сравнению с уровнем 2019 года наблюдается снижение на 6 %.</w:t>
      </w:r>
    </w:p>
    <w:p w:rsidR="005670AC" w:rsidRPr="00A268AF" w:rsidRDefault="005670AC" w:rsidP="005670AC">
      <w:pPr>
        <w:ind w:firstLine="709"/>
        <w:contextualSpacing/>
      </w:pPr>
      <w:proofErr w:type="gramStart"/>
      <w:r w:rsidRPr="00A268AF">
        <w:t>Динамика объема производства к уровню прошлого года в разрезе отраслей носит разнонаправленный характер: снижение отмечено в сфере научных исследований и разработок – на 47,7 %, в строительстве – на 12 %, в производстве прочей неметаллической минеральной продукции – на 32,4 %, в обеспечении электрической энергией, газом и паром – на 2,8 %, рост отмечен  в производстве готовых металлических изделий – на 5,5 %, в розничной торговле – на 35,7 %, в оптовой</w:t>
      </w:r>
      <w:proofErr w:type="gramEnd"/>
      <w:r w:rsidRPr="00A268AF">
        <w:t xml:space="preserve"> торговле – более чем в 1,5 раза. </w:t>
      </w:r>
    </w:p>
    <w:p w:rsidR="005670AC" w:rsidRPr="00A268AF" w:rsidRDefault="005670AC" w:rsidP="005670AC">
      <w:pPr>
        <w:ind w:firstLine="709"/>
        <w:contextualSpacing/>
      </w:pPr>
      <w:r w:rsidRPr="00A268AF">
        <w:t>В структуре оборота крупных и средних предприятий города преобладает энергетика – 52,3 %, на втором месте строительство – 28,9 %, на третьем месте оптовая и розничная торговля – 7,4 %, обрабатывающие производства на четвертом месте – 3,8 %, затем научные исследования и разработки – 2,9 %.</w:t>
      </w:r>
    </w:p>
    <w:p w:rsidR="005670AC" w:rsidRPr="00A268AF" w:rsidRDefault="005670AC" w:rsidP="005670AC">
      <w:pPr>
        <w:ind w:firstLine="709"/>
      </w:pPr>
      <w:r w:rsidRPr="00A268AF">
        <w:rPr>
          <w:b/>
          <w:bCs/>
        </w:rPr>
        <w:t xml:space="preserve">Инвестиции </w:t>
      </w:r>
      <w:r w:rsidRPr="00A268AF">
        <w:t xml:space="preserve">в нефинансовые активы за 2020 год по крупным и средним организациям-инвесторам составили 36,4 млрд. руб., или 96,1 % к уровню предыдущего года. </w:t>
      </w:r>
    </w:p>
    <w:p w:rsidR="005670AC" w:rsidRPr="00A268AF" w:rsidRDefault="005670AC" w:rsidP="005670AC">
      <w:pPr>
        <w:ind w:firstLine="709"/>
      </w:pPr>
      <w:r w:rsidRPr="00A268AF">
        <w:t>В 2020 году выполнен большой объем строительно-монтажных работ по строительству второго энергоблока нового поколения на Ленинградской атомной электростанции. По общему объему инвестиций округ на протяжении ряда лет занимает лидирующие позиции в области.</w:t>
      </w:r>
    </w:p>
    <w:p w:rsidR="005670AC" w:rsidRPr="00A268AF" w:rsidRDefault="005670AC" w:rsidP="005670AC">
      <w:pPr>
        <w:ind w:firstLine="709"/>
      </w:pPr>
      <w:bookmarkStart w:id="1" w:name="_Toc475356648"/>
      <w:r w:rsidRPr="00A268AF">
        <w:t xml:space="preserve">В общем объеме инвестиций преобладают инвестиции в </w:t>
      </w:r>
      <w:r w:rsidRPr="00A268AF">
        <w:rPr>
          <w:b/>
          <w:bCs/>
        </w:rPr>
        <w:t>производственные виды</w:t>
      </w:r>
      <w:r w:rsidRPr="00A268AF">
        <w:t xml:space="preserve"> деятельности (более 90 % общего объема инвестиций по округу), из них основной объем составили средства АО «Концерн Росэнергоатом», вложенные в два инвестиционных проекта, реализуемых на территории Сосновоборского городского округа: модернизация действующей Ленинградской атомной станции и строительство замещающих мощностей ЛАЭС.</w:t>
      </w:r>
    </w:p>
    <w:p w:rsidR="005670AC" w:rsidRPr="00A268AF" w:rsidRDefault="005670AC" w:rsidP="005670AC">
      <w:pPr>
        <w:ind w:firstLine="709"/>
      </w:pPr>
      <w:r w:rsidRPr="00A268AF">
        <w:t xml:space="preserve">За отчетный год в городе введено в эксплуатацию 129 квартир и 188 индивидуальных жилых домов общей площадью 23,4 тыс. кв. м., в предыдущем году введено 766 квартир и 61 индивидуальный жилой дом общей площадью 51,9 тыс. кв. м. </w:t>
      </w:r>
    </w:p>
    <w:p w:rsidR="005670AC" w:rsidRPr="00A268AF" w:rsidRDefault="005670AC" w:rsidP="005670AC">
      <w:pPr>
        <w:ind w:firstLine="709"/>
      </w:pPr>
      <w:r w:rsidRPr="00A268AF">
        <w:t>Перспективы привлечения инвестиций на последующий период в первую очередь связаны с продолжением работ на строительстве новых энергоблоков ЛАЭС.</w:t>
      </w:r>
    </w:p>
    <w:p w:rsidR="005670AC" w:rsidRPr="00A268AF" w:rsidRDefault="005670AC" w:rsidP="005670AC">
      <w:pPr>
        <w:ind w:firstLine="709"/>
      </w:pPr>
      <w:r w:rsidRPr="00A268AF">
        <w:rPr>
          <w:rFonts w:eastAsia="Times New Roman"/>
          <w:b/>
        </w:rPr>
        <w:t>Малое предпринимательство</w:t>
      </w:r>
      <w:bookmarkEnd w:id="1"/>
      <w:r w:rsidRPr="00A268AF">
        <w:rPr>
          <w:rFonts w:eastAsia="Times New Roman"/>
          <w:b/>
        </w:rPr>
        <w:t>.</w:t>
      </w:r>
      <w:r w:rsidRPr="00A268AF">
        <w:rPr>
          <w:rFonts w:eastAsia="Times New Roman"/>
        </w:rPr>
        <w:t xml:space="preserve"> </w:t>
      </w:r>
      <w:r w:rsidRPr="00A268AF">
        <w:rPr>
          <w:rFonts w:eastAsia="Calibri"/>
        </w:rPr>
        <w:t>По данным Единого реестра субъектов малого и среднего предпринимательства Федеральной налоговой службы России по состоянию на 10.01.2021 на территории Сосновоборского городского округа зарегистрировано 1863 СМП, в том числе 10</w:t>
      </w:r>
      <w:r w:rsidRPr="00A268AF">
        <w:rPr>
          <w:rFonts w:eastAsia="Calibri"/>
          <w:lang w:val="en-US"/>
        </w:rPr>
        <w:t> </w:t>
      </w:r>
      <w:r w:rsidRPr="00A268AF">
        <w:rPr>
          <w:rFonts w:eastAsia="Calibri"/>
        </w:rPr>
        <w:t>средних предприятий, 60 малых организаций, 1793</w:t>
      </w:r>
      <w:r w:rsidRPr="00A268AF">
        <w:t xml:space="preserve"> микропредприятий (из них</w:t>
      </w:r>
      <w:r w:rsidRPr="00A268AF">
        <w:rPr>
          <w:rFonts w:eastAsia="Calibri"/>
        </w:rPr>
        <w:t xml:space="preserve"> 573 юридических лица и 1220 индивидуальных предпринимателей).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 xml:space="preserve">В целом, на анализируемых средних предприятиях в 2020 году произошло увеличение среднесписочной численности работников на 8,5 % (508 чел.). Среднемесячная заработная плата работников списочного состава на 01.01.2021 составила </w:t>
      </w:r>
      <w:r w:rsidRPr="00A268AF">
        <w:t>40,5 тыс. руб. (снижение на 5,9 </w:t>
      </w:r>
      <w:r w:rsidRPr="00A268AF">
        <w:rPr>
          <w:rFonts w:eastAsia="Calibri"/>
        </w:rPr>
        <w:t>% к аналогичному периоду 2019 года).</w:t>
      </w:r>
    </w:p>
    <w:p w:rsidR="005670AC" w:rsidRPr="00A268AF" w:rsidRDefault="005670AC" w:rsidP="005670AC">
      <w:pPr>
        <w:pStyle w:val="af2"/>
        <w:spacing w:after="0"/>
        <w:ind w:firstLine="709"/>
        <w:jc w:val="both"/>
        <w:rPr>
          <w:sz w:val="24"/>
          <w:szCs w:val="24"/>
        </w:rPr>
      </w:pPr>
      <w:r w:rsidRPr="00A268AF">
        <w:rPr>
          <w:b/>
          <w:sz w:val="24"/>
          <w:szCs w:val="24"/>
        </w:rPr>
        <w:t xml:space="preserve">Среднесписочная численность </w:t>
      </w:r>
      <w:r w:rsidRPr="00A268AF">
        <w:rPr>
          <w:sz w:val="24"/>
          <w:szCs w:val="24"/>
        </w:rPr>
        <w:t>работников крупных и средних организаций Сосновоборского городского округа за 2020 год составила 26094 человека и выросла по сравнению с предыдущим годом на 1,5 %. Кроме того, для работы в этих организациях привлекались на условиях совместительства и по договорам гражданско-правового характера 517 человек.</w:t>
      </w:r>
    </w:p>
    <w:p w:rsidR="005670AC" w:rsidRPr="00A268AF" w:rsidRDefault="005670AC" w:rsidP="005670AC">
      <w:pPr>
        <w:pStyle w:val="af2"/>
        <w:spacing w:after="0"/>
        <w:ind w:firstLine="709"/>
        <w:jc w:val="both"/>
        <w:rPr>
          <w:sz w:val="24"/>
          <w:szCs w:val="24"/>
        </w:rPr>
      </w:pPr>
      <w:proofErr w:type="gramStart"/>
      <w:r w:rsidRPr="00A268AF">
        <w:rPr>
          <w:sz w:val="24"/>
          <w:szCs w:val="24"/>
        </w:rPr>
        <w:t>Выросла численность работающих к предыдущему году в обеспечении электрической энергией – на 2,8 %, в обрабатывающих производствах – на 5,6 %, в торговле оптовой и розничной - на 28,4 %.</w:t>
      </w:r>
      <w:proofErr w:type="gramEnd"/>
    </w:p>
    <w:p w:rsidR="005670AC" w:rsidRPr="00A268AF" w:rsidRDefault="005670AC" w:rsidP="005670AC">
      <w:pPr>
        <w:pStyle w:val="af2"/>
        <w:spacing w:after="0"/>
        <w:ind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lastRenderedPageBreak/>
        <w:t xml:space="preserve">Снизилось число работников в строительстве – на 2,5 %, в сфере деятельности гостиниц и предприятий общественного питания – на 41,2 %, в области информации и связи – на 13 %.  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  <w:b/>
        </w:rPr>
        <w:t>Среднемесячная номинальная заработная плата</w:t>
      </w:r>
      <w:r w:rsidRPr="00A268AF">
        <w:rPr>
          <w:rFonts w:eastAsia="Calibri"/>
        </w:rPr>
        <w:t xml:space="preserve"> работников списочного состава крупных и средних организаций округа за 2020 год выросла на </w:t>
      </w:r>
      <w:r w:rsidRPr="00A268AF">
        <w:t>5,1</w:t>
      </w:r>
      <w:r w:rsidRPr="00A268AF">
        <w:rPr>
          <w:rFonts w:eastAsia="Calibri"/>
        </w:rPr>
        <w:t xml:space="preserve"> % по сравнению с предыдущим годом и составила 7</w:t>
      </w:r>
      <w:r w:rsidRPr="00A268AF">
        <w:t>6683</w:t>
      </w:r>
      <w:r w:rsidRPr="00A268AF">
        <w:rPr>
          <w:rFonts w:eastAsia="Calibri"/>
        </w:rPr>
        <w:t xml:space="preserve"> рубл</w:t>
      </w:r>
      <w:r w:rsidRPr="00A268AF">
        <w:t>я</w:t>
      </w:r>
      <w:r w:rsidRPr="00A268AF">
        <w:rPr>
          <w:rFonts w:eastAsia="Calibri"/>
        </w:rPr>
        <w:t xml:space="preserve">. 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>Наибольший рост номинальной заработной платы к предыдущему году произошел в области здравоохранения и социальных услуг – на 11,7 %, в строительстве – на 9 %, в области информации и связи – 14,4 %.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>Снизилась заработная плата в деятельности профессиональной научной и технической – на 2,9 %, в деятельности финансовой и страховой – на 4,9 %, в деятельности гостиниц и предприятий общественного питания – на 2,2 %.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>По состоянию на 1 января 2021 года по данным статистики просроченная задолженность по заработной плате отсутствует.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Показатель 1. Число субъектов малого и среднего предпринимательства в расчете на 10 тыс. человек населения:</w:t>
      </w: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Calibri"/>
        </w:rPr>
        <w:t>По официальной информации, полученной от Федеральной налоговой службы и Петростата, используемой в расчете, данный показатель составляет 280,2</w:t>
      </w:r>
      <w:r w:rsidRPr="00A268AF">
        <w:t xml:space="preserve"> субъекта</w:t>
      </w:r>
      <w:r w:rsidRPr="00A268AF">
        <w:rPr>
          <w:rFonts w:eastAsia="Calibri"/>
        </w:rPr>
        <w:t xml:space="preserve"> малого и среднего предпринимательства на 10 тысяч человек населения округа.</w:t>
      </w:r>
      <w:r w:rsidRPr="00A268AF">
        <w:rPr>
          <w:rFonts w:eastAsia="Times New Roman"/>
          <w:b/>
          <w:lang w:eastAsia="ru-RU"/>
        </w:rPr>
        <w:t xml:space="preserve"> </w:t>
      </w:r>
      <w:r w:rsidRPr="00A268AF">
        <w:rPr>
          <w:rFonts w:eastAsia="Calibri"/>
        </w:rPr>
        <w:t>Снижение</w:t>
      </w:r>
      <w:r w:rsidRPr="00A268AF">
        <w:t xml:space="preserve"> на 6,9 % по</w:t>
      </w:r>
      <w:r w:rsidRPr="00A268AF">
        <w:rPr>
          <w:rFonts w:eastAsia="Calibri"/>
        </w:rPr>
        <w:t xml:space="preserve"> сравнен</w:t>
      </w:r>
      <w:r w:rsidRPr="00A268AF">
        <w:t xml:space="preserve">ию с </w:t>
      </w:r>
      <w:r w:rsidRPr="00A268AF">
        <w:rPr>
          <w:rFonts w:eastAsia="Calibri"/>
        </w:rPr>
        <w:t>2019 год</w:t>
      </w:r>
      <w:r w:rsidRPr="00A268AF">
        <w:t>ом</w:t>
      </w:r>
      <w:r w:rsidRPr="00A268AF">
        <w:rPr>
          <w:rFonts w:eastAsia="Calibri"/>
        </w:rPr>
        <w:t xml:space="preserve"> связано с переходом индивидуальных предпринимателей в привлекательный режим самозанятости, закрытием ИП и отменой ЕНВД.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t>В 2021-2023 годах прогнозируется положительная динамика данного показателя.</w:t>
      </w: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Calibri"/>
        </w:rPr>
        <w:t>По данным Петростата, используемым в расчете, данный показатель составляет 22,32 %. Увеличение в сравнении с 2019 годом на 5,8 % связано с успешной реализацией информационной кампании, направленной на вовлечение в самозанятость.</w:t>
      </w:r>
    </w:p>
    <w:p w:rsidR="005670AC" w:rsidRPr="00A268AF" w:rsidRDefault="005670AC" w:rsidP="005670AC">
      <w:pPr>
        <w:keepNext/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t>В 2021-2023 годах прогнозируется положительная динамика данного показателя.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Показатель 3. Объем инвестиций в основной капитал (за исключением бюджетных средств) в расчете на 1 жителя.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Фактическое значение показателя составило: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2019 году – 580707 рублей, или 104,5 % к 2018 году;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2020 году – 524348 рублей, или  90,3 % к 2019 году.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В 2020 году, как и в предыдущие годы, основным инвестором в округе был филиал АО "Концерн Росэнергоатом" – Ленинградская атомная станция, объем </w:t>
      </w:r>
      <w:proofErr w:type="gramStart"/>
      <w:r w:rsidRPr="00A268AF">
        <w:rPr>
          <w:rFonts w:eastAsia="Times New Roman"/>
          <w:lang w:eastAsia="ru-RU"/>
        </w:rPr>
        <w:t>инвестиций</w:t>
      </w:r>
      <w:proofErr w:type="gramEnd"/>
      <w:r w:rsidRPr="00A268AF">
        <w:rPr>
          <w:rFonts w:eastAsia="Times New Roman"/>
          <w:lang w:eastAsia="ru-RU"/>
        </w:rPr>
        <w:t xml:space="preserve"> которого составляет около 90 % общего объема инвестиций крупных и средних предприятий округа.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В 2018-2020 годах на ЛАЭС продолжалось строительство замещающих мощностей – энергоблоков нового поколения взамен выводимых из эксплуатации энергоблоков, отслуживших свой срок. В 2018 году был введен в эксплуатацию первый энергоблок нового поколения, в 2019-2020 годах </w:t>
      </w:r>
      <w:proofErr w:type="spellStart"/>
      <w:proofErr w:type="gramStart"/>
      <w:r w:rsidRPr="00A268AF">
        <w:rPr>
          <w:rFonts w:eastAsia="Times New Roman"/>
          <w:lang w:eastAsia="ru-RU"/>
        </w:rPr>
        <w:t>годах</w:t>
      </w:r>
      <w:proofErr w:type="spellEnd"/>
      <w:proofErr w:type="gramEnd"/>
      <w:r w:rsidRPr="00A268AF">
        <w:rPr>
          <w:rFonts w:eastAsia="Times New Roman"/>
          <w:lang w:eastAsia="ru-RU"/>
        </w:rPr>
        <w:t xml:space="preserve"> продолжилось строительство второго энергоблока, который был введен в эксплуатацию в марте 2021 года.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Снижение значения показателя в 2020 году вызвано завершением строительства первой очереди ЛАЭС-2 (1-й и 2-й энергоблоки нового поколения).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lastRenderedPageBreak/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Прогнозные значения показателя на 2021-2023 годы рассчитаны исходя из среднегодовой численности населения и прогноза объема инвестиций в основной капитал (за исключением бюджетных средств) по округу.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По прогнозу ЛАЭС – крупнейшего инвестора – объем инвестиций на 2021-2023 годы резко снижается по сравнению с предыдущими годами в связи с окончанием строительства первой очереди ЛАЭС-2. Поскольку объем инвестиций ЛАЭС в 2018-2020 годах многократно превосходил инвестиции других инвесторов округа, вместе взятых, резкое снижение инвестиций ЛАЭС не компенсируется ростом объема инвестиций других инвесторов. В связи с этим общий объем инвестиций по округу снижается с 35341 млн. руб. в 2020 году до 6784 млн. руб. в 2023 году. </w:t>
      </w:r>
    </w:p>
    <w:p w:rsidR="005670AC" w:rsidRPr="00A268AF" w:rsidRDefault="005670AC" w:rsidP="005670AC">
      <w:pPr>
        <w:ind w:firstLine="709"/>
      </w:pPr>
      <w:r w:rsidRPr="00A268AF">
        <w:rPr>
          <w:rFonts w:eastAsia="Times New Roman"/>
          <w:lang w:eastAsia="ru-RU"/>
        </w:rPr>
        <w:t>Соответственно снижаются значения показателя № 3: в 2020 году – 524348 руб., в 2021 году – 155885 руб., в 2022 году 134045 руб., в 2023 году – 100953 руб. в расчете на 1 жителя.</w:t>
      </w:r>
      <w:r w:rsidRPr="00A268AF">
        <w:t xml:space="preserve">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t>В настоящее время идет подготовка к строительству второй очереди ЛАЭС-2 (3-й и 4-й энергоблоки), решение о строительстве которой было принято в 2020 году. По мере разворачивания строительства второй очереди объемы инвестиций и значения показателя должны вернуться к прежнему уровню.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4.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 w:rsidR="005670AC" w:rsidRPr="00A268AF" w:rsidRDefault="005670AC" w:rsidP="005670AC">
      <w:pPr>
        <w:ind w:firstLine="708"/>
        <w:rPr>
          <w:bCs/>
        </w:rPr>
      </w:pPr>
      <w:r w:rsidRPr="00A268AF">
        <w:t>Фактическое значение показателя за 2020 год составило 56,1 %, что немного выше уровня 2019 года – 55,7 %. Рост показателя связан с передачей земельных участков в собственность граждан и юридических лиц.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t xml:space="preserve">В 2021-2023 годах значения показателя планируются с ежегодным ростом и составят: </w:t>
      </w:r>
    </w:p>
    <w:p w:rsidR="005670AC" w:rsidRPr="00A268AF" w:rsidRDefault="005670AC" w:rsidP="005670AC">
      <w:pPr>
        <w:ind w:firstLine="708"/>
        <w:rPr>
          <w:bCs/>
        </w:rPr>
      </w:pPr>
      <w:r w:rsidRPr="00A268AF">
        <w:t>в 2021 году – 56,3 %, в 2022 году – 56,4 %, в 2023 году – 56,5 %.</w:t>
      </w:r>
    </w:p>
    <w:p w:rsidR="005670AC" w:rsidRPr="00A268AF" w:rsidRDefault="005670AC" w:rsidP="005670AC">
      <w:pPr>
        <w:ind w:firstLine="708"/>
        <w:rPr>
          <w:bCs/>
        </w:rPr>
      </w:pP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5.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 xml:space="preserve">Доля прибыльных сельскохозяйственных </w:t>
      </w:r>
      <w:proofErr w:type="gramStart"/>
      <w:r w:rsidRPr="00A268AF">
        <w:rPr>
          <w:rFonts w:eastAsia="Times New Roman"/>
          <w:b/>
          <w:bCs/>
          <w:lang w:eastAsia="ru-RU"/>
        </w:rPr>
        <w:t>организаций</w:t>
      </w:r>
      <w:proofErr w:type="gramEnd"/>
      <w:r w:rsidRPr="00A268AF">
        <w:rPr>
          <w:rFonts w:eastAsia="Times New Roman"/>
          <w:b/>
          <w:bCs/>
          <w:lang w:eastAsia="ru-RU"/>
        </w:rPr>
        <w:t xml:space="preserve"> в общем их числе</w:t>
      </w:r>
      <w:r w:rsidRPr="00A268AF">
        <w:rPr>
          <w:rFonts w:eastAsia="Times New Roman"/>
          <w:bCs/>
          <w:lang w:eastAsia="ru-RU"/>
        </w:rPr>
        <w:t>:</w:t>
      </w:r>
    </w:p>
    <w:p w:rsidR="005670AC" w:rsidRPr="00A268AF" w:rsidRDefault="005670AC" w:rsidP="005670AC">
      <w:pPr>
        <w:ind w:firstLine="708"/>
        <w:rPr>
          <w:bCs/>
        </w:rPr>
      </w:pPr>
      <w:r w:rsidRPr="00A268AF">
        <w:t xml:space="preserve">Доля прибыльных сельскохозяйственных </w:t>
      </w:r>
      <w:proofErr w:type="gramStart"/>
      <w:r w:rsidRPr="00A268AF">
        <w:t>организаций</w:t>
      </w:r>
      <w:proofErr w:type="gramEnd"/>
      <w:r w:rsidRPr="00A268AF">
        <w:t xml:space="preserve"> в общем их числе в 2018-2020 годах</w:t>
      </w:r>
      <w:r w:rsidRPr="00A268AF">
        <w:rPr>
          <w:b/>
        </w:rPr>
        <w:t xml:space="preserve"> </w:t>
      </w:r>
      <w:r w:rsidRPr="00A268AF">
        <w:rPr>
          <w:bCs/>
        </w:rPr>
        <w:t>составляет 0 %.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t xml:space="preserve">Доля прибыльных сельскохозяйственных </w:t>
      </w:r>
      <w:proofErr w:type="gramStart"/>
      <w:r w:rsidRPr="00A268AF">
        <w:t>организаций</w:t>
      </w:r>
      <w:proofErr w:type="gramEnd"/>
      <w:r w:rsidRPr="00A268AF">
        <w:t xml:space="preserve"> в общем их числе в 2021-2023 годах предполагается в размере 100 %.</w:t>
      </w:r>
    </w:p>
    <w:p w:rsidR="005670AC" w:rsidRPr="00A268AF" w:rsidRDefault="005670AC" w:rsidP="005670AC">
      <w:pPr>
        <w:ind w:firstLine="708"/>
        <w:rPr>
          <w:bCs/>
        </w:rPr>
      </w:pP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 w:bidi="en-US"/>
        </w:rPr>
      </w:pPr>
      <w:r w:rsidRPr="00A268AF">
        <w:rPr>
          <w:rFonts w:eastAsia="Times New Roman"/>
          <w:b/>
          <w:bCs/>
          <w:lang w:eastAsia="ru-RU" w:bidi="en-US"/>
        </w:rPr>
        <w:t>Показатель 6.</w:t>
      </w:r>
      <w:r w:rsidRPr="00A268AF">
        <w:rPr>
          <w:rFonts w:eastAsia="Times New Roman"/>
          <w:bCs/>
          <w:lang w:eastAsia="ru-RU" w:bidi="en-US"/>
        </w:rPr>
        <w:t xml:space="preserve"> </w:t>
      </w:r>
      <w:r w:rsidRPr="00A268AF">
        <w:rPr>
          <w:rFonts w:eastAsia="Times New Roman"/>
          <w:b/>
          <w:bCs/>
          <w:lang w:eastAsia="ru-RU" w:bidi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A268AF">
        <w:rPr>
          <w:rFonts w:eastAsia="Times New Roman"/>
          <w:bCs/>
          <w:lang w:eastAsia="ru-RU" w:bidi="en-US"/>
        </w:rPr>
        <w:t>.</w:t>
      </w:r>
    </w:p>
    <w:p w:rsidR="005670AC" w:rsidRPr="00A268AF" w:rsidRDefault="005670AC" w:rsidP="005670AC">
      <w:pPr>
        <w:ind w:firstLine="708"/>
        <w:rPr>
          <w:rFonts w:eastAsia="Times New Roman"/>
          <w:lang w:bidi="en-US"/>
        </w:rPr>
      </w:pPr>
      <w:r w:rsidRPr="00A268AF">
        <w:rPr>
          <w:rFonts w:eastAsia="Times New Roman"/>
          <w:lang w:bidi="en-US"/>
        </w:rPr>
        <w:t>За 2020 год фактическое зн</w:t>
      </w:r>
      <w:r w:rsidR="007627FD">
        <w:rPr>
          <w:rFonts w:eastAsia="Times New Roman"/>
          <w:lang w:bidi="en-US"/>
        </w:rPr>
        <w:t>ачение показателя составило 27,9</w:t>
      </w:r>
      <w:r w:rsidRPr="00A268AF">
        <w:rPr>
          <w:rFonts w:eastAsia="Times New Roman"/>
          <w:lang w:bidi="en-US"/>
        </w:rPr>
        <w:t xml:space="preserve"> %, что ниже уровня 2019 года (37 %) и 2018 года (69,9 %).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 w:bidi="en-US"/>
        </w:rPr>
      </w:pPr>
      <w:r w:rsidRPr="00A268AF">
        <w:rPr>
          <w:rFonts w:eastAsia="Times New Roman"/>
          <w:lang w:bidi="en-US"/>
        </w:rPr>
        <w:t>Д</w:t>
      </w:r>
      <w:r w:rsidRPr="00A268AF">
        <w:rPr>
          <w:rFonts w:eastAsia="Times New Roman"/>
          <w:bCs/>
          <w:lang w:eastAsia="ru-RU" w:bidi="en-US"/>
        </w:rPr>
        <w:t xml:space="preserve">оля протяженности автомобильных дорог общего пользования местного значения, не отвечающих нормативным требованиям, планируется с ежегодным снижением и составит 26 % в 2021 году, 25,2 % в 2022 году, 24 % в 2023 году. </w:t>
      </w:r>
    </w:p>
    <w:p w:rsidR="005670AC" w:rsidRPr="00A268AF" w:rsidRDefault="005670AC" w:rsidP="005670AC">
      <w:pPr>
        <w:ind w:firstLine="708"/>
        <w:rPr>
          <w:rFonts w:eastAsia="Times New Roman"/>
          <w:lang w:bidi="en-US"/>
        </w:rPr>
      </w:pP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7.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A268AF">
        <w:rPr>
          <w:rFonts w:eastAsia="Times New Roman"/>
          <w:bCs/>
          <w:lang w:eastAsia="ru-RU"/>
        </w:rPr>
        <w:t>.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bidi="en-US"/>
        </w:rPr>
      </w:pPr>
      <w:r w:rsidRPr="00A268AF">
        <w:rPr>
          <w:rFonts w:eastAsia="Times New Roman"/>
          <w:lang w:bidi="en-US"/>
        </w:rPr>
        <w:t>Н</w:t>
      </w:r>
      <w:r w:rsidRPr="00A268AF">
        <w:rPr>
          <w:rFonts w:eastAsia="Times New Roman"/>
          <w:bCs/>
          <w:lang w:bidi="en-US"/>
        </w:rPr>
        <w:t xml:space="preserve">аселенных пунктов, не имеющих регулярного автобусного и (или) железнодорожного сообщения с административным центром городского округа, </w:t>
      </w:r>
      <w:proofErr w:type="gramStart"/>
      <w:r w:rsidRPr="00A268AF">
        <w:rPr>
          <w:rFonts w:eastAsia="Times New Roman"/>
          <w:bCs/>
          <w:lang w:bidi="en-US"/>
        </w:rPr>
        <w:t>нет и в рассматриваемом периоде не предвидится</w:t>
      </w:r>
      <w:proofErr w:type="gramEnd"/>
      <w:r w:rsidRPr="00A268AF">
        <w:rPr>
          <w:rFonts w:eastAsia="Times New Roman"/>
          <w:bCs/>
          <w:lang w:bidi="en-US"/>
        </w:rPr>
        <w:t>.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bidi="en-US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bCs/>
          <w:lang w:eastAsia="ru-RU"/>
        </w:rPr>
        <w:lastRenderedPageBreak/>
        <w:t xml:space="preserve">Показатель 8. </w:t>
      </w:r>
      <w:r w:rsidRPr="00A268AF">
        <w:rPr>
          <w:rFonts w:eastAsia="Times New Roman"/>
          <w:b/>
          <w:lang w:eastAsia="ru-RU"/>
        </w:rPr>
        <w:t>Среднемесячная номинальная начисленная заработная плата работников:</w:t>
      </w:r>
    </w:p>
    <w:p w:rsidR="005670AC" w:rsidRPr="00A268AF" w:rsidRDefault="005670AC" w:rsidP="005670AC">
      <w:pPr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- крупных и средних предприятий и некоммерческих организаций</w:t>
      </w:r>
      <w:r w:rsidRPr="00A268AF">
        <w:rPr>
          <w:rFonts w:eastAsia="Times New Roman"/>
          <w:lang w:eastAsia="ru-RU"/>
        </w:rPr>
        <w:t>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2019 году – 72951 руб., ро</w:t>
      </w:r>
      <w:proofErr w:type="gramStart"/>
      <w:r w:rsidRPr="00A268AF">
        <w:rPr>
          <w:rFonts w:eastAsia="Times New Roman"/>
          <w:lang w:eastAsia="ru-RU"/>
        </w:rPr>
        <w:t>ст к пр</w:t>
      </w:r>
      <w:proofErr w:type="gramEnd"/>
      <w:r w:rsidRPr="00A268AF">
        <w:rPr>
          <w:rFonts w:eastAsia="Times New Roman"/>
          <w:lang w:eastAsia="ru-RU"/>
        </w:rPr>
        <w:t>едыдущему году – 106,7 %;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2020 году – 76683 руб., ро</w:t>
      </w:r>
      <w:proofErr w:type="gramStart"/>
      <w:r w:rsidRPr="00A268AF">
        <w:rPr>
          <w:rFonts w:eastAsia="Times New Roman"/>
          <w:lang w:eastAsia="ru-RU"/>
        </w:rPr>
        <w:t>ст к пр</w:t>
      </w:r>
      <w:proofErr w:type="gramEnd"/>
      <w:r w:rsidRPr="00A268AF">
        <w:rPr>
          <w:rFonts w:eastAsia="Times New Roman"/>
          <w:lang w:eastAsia="ru-RU"/>
        </w:rPr>
        <w:t>едыдущему году – 105,1 %.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Высокий темп роста средней зарплаты по округу в 2019-2020 годах вызван высоким темпом роста зарплаты в строительной отрасли, связанным с выполнением большого объема строительно-монтажных и пуско-наладочных работ на строительстве ЛАЭС-2.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2021 году – 81744 руб., ро</w:t>
      </w:r>
      <w:proofErr w:type="gramStart"/>
      <w:r w:rsidRPr="00A268AF">
        <w:rPr>
          <w:rFonts w:eastAsia="Times New Roman"/>
          <w:lang w:eastAsia="ru-RU"/>
        </w:rPr>
        <w:t>ст к пр</w:t>
      </w:r>
      <w:proofErr w:type="gramEnd"/>
      <w:r w:rsidRPr="00A268AF">
        <w:rPr>
          <w:rFonts w:eastAsia="Times New Roman"/>
          <w:lang w:eastAsia="ru-RU"/>
        </w:rPr>
        <w:t>едыдущему году – 106,6 %;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2022 году – 86812 руб., ро</w:t>
      </w:r>
      <w:proofErr w:type="gramStart"/>
      <w:r w:rsidRPr="00A268AF">
        <w:rPr>
          <w:rFonts w:eastAsia="Times New Roman"/>
          <w:lang w:eastAsia="ru-RU"/>
        </w:rPr>
        <w:t>ст к пр</w:t>
      </w:r>
      <w:proofErr w:type="gramEnd"/>
      <w:r w:rsidRPr="00A268AF">
        <w:rPr>
          <w:rFonts w:eastAsia="Times New Roman"/>
          <w:lang w:eastAsia="ru-RU"/>
        </w:rPr>
        <w:t>едыдущему году – 106,2 %;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2023 году – 92802 руб., ро</w:t>
      </w:r>
      <w:proofErr w:type="gramStart"/>
      <w:r w:rsidRPr="00A268AF">
        <w:rPr>
          <w:rFonts w:eastAsia="Times New Roman"/>
          <w:lang w:eastAsia="ru-RU"/>
        </w:rPr>
        <w:t>ст к пр</w:t>
      </w:r>
      <w:proofErr w:type="gramEnd"/>
      <w:r w:rsidRPr="00A268AF">
        <w:rPr>
          <w:rFonts w:eastAsia="Times New Roman"/>
          <w:lang w:eastAsia="ru-RU"/>
        </w:rPr>
        <w:t>едыдущему году – 106,9 %.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Прогнозируемый уровень средней заработной платы рассчитан по темпам роста, заложенным в прогнозе Сосновоборского городского округа на данный период.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</w:t>
      </w:r>
      <w:r w:rsidRPr="00A268AF">
        <w:rPr>
          <w:rFonts w:eastAsia="Times New Roman"/>
          <w:b/>
          <w:bCs/>
          <w:lang w:eastAsia="ru-RU"/>
        </w:rPr>
        <w:t>муниципальных детских дошкольных учреждений</w:t>
      </w:r>
      <w:r w:rsidRPr="00A268AF">
        <w:rPr>
          <w:rFonts w:eastAsia="Times New Roman"/>
          <w:bCs/>
          <w:lang w:eastAsia="ru-RU"/>
        </w:rPr>
        <w:t xml:space="preserve"> за 2020 год выросла на 4,1 %  к 2019 году и составила 40 301,0 руб.;</w:t>
      </w: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</w:t>
      </w:r>
      <w:r w:rsidRPr="00A268AF">
        <w:rPr>
          <w:rFonts w:eastAsia="Times New Roman"/>
          <w:b/>
          <w:bCs/>
          <w:lang w:eastAsia="ru-RU"/>
        </w:rPr>
        <w:t>муниципальных общеобразовательных учреждений</w:t>
      </w:r>
      <w:r w:rsidRPr="00A268AF">
        <w:rPr>
          <w:rFonts w:eastAsia="Times New Roman"/>
          <w:bCs/>
          <w:lang w:eastAsia="ru-RU"/>
        </w:rPr>
        <w:t xml:space="preserve"> за 2020 год возросла на 3,8 % по сравнению с 2019 годом и достигла 46 743,0  руб.;</w:t>
      </w: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</w:t>
      </w:r>
      <w:r w:rsidRPr="00A268AF">
        <w:rPr>
          <w:rFonts w:eastAsia="Times New Roman"/>
          <w:b/>
          <w:bCs/>
          <w:lang w:eastAsia="ru-RU"/>
        </w:rPr>
        <w:t>учителей муниципальных общеобразовательных учреждений</w:t>
      </w:r>
      <w:r w:rsidRPr="00A268AF">
        <w:rPr>
          <w:rFonts w:eastAsia="Times New Roman"/>
          <w:bCs/>
          <w:lang w:eastAsia="ru-RU"/>
        </w:rPr>
        <w:t xml:space="preserve"> за 2020 год увеличилась на 4,4 % по сравнению с 2019 годом и составила 46 684,5 руб.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proofErr w:type="gramStart"/>
      <w:r w:rsidRPr="00A268AF">
        <w:rPr>
          <w:rFonts w:eastAsia="Times New Roman"/>
          <w:bCs/>
          <w:lang w:eastAsia="ru-RU"/>
        </w:rPr>
        <w:t xml:space="preserve">В соответствии с Указами Президента Российской Федерации № 597 от 07.05.2012 </w:t>
      </w:r>
      <w:r w:rsidRPr="00A268AF">
        <w:t xml:space="preserve"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</w:t>
      </w:r>
      <w:r w:rsidRPr="00A268AF">
        <w:rPr>
          <w:rFonts w:eastAsia="Times New Roman"/>
          <w:bCs/>
          <w:lang w:eastAsia="ru-RU"/>
        </w:rPr>
        <w:t>и Программой</w:t>
      </w:r>
      <w:r w:rsidRPr="00A268AF">
        <w:rPr>
          <w:rFonts w:eastAsia="Times New Roman"/>
          <w:b/>
          <w:lang w:eastAsia="ru-RU"/>
        </w:rPr>
        <w:t xml:space="preserve"> </w:t>
      </w:r>
      <w:r w:rsidRPr="00A268AF">
        <w:rPr>
          <w:rFonts w:eastAsia="Times New Roman"/>
          <w:lang w:eastAsia="ru-RU"/>
        </w:rPr>
        <w:t>поэтапного совершенствования</w:t>
      </w:r>
      <w:proofErr w:type="gramEnd"/>
      <w:r w:rsidRPr="00A268AF">
        <w:rPr>
          <w:rFonts w:eastAsia="Times New Roman"/>
          <w:lang w:eastAsia="ru-RU"/>
        </w:rPr>
        <w:t xml:space="preserve"> </w:t>
      </w:r>
      <w:proofErr w:type="gramStart"/>
      <w:r w:rsidRPr="00A268AF">
        <w:rPr>
          <w:rFonts w:eastAsia="Times New Roman"/>
          <w:lang w:eastAsia="ru-RU"/>
        </w:rPr>
        <w:t xml:space="preserve">системы оплаты труда в государственных (муниципальных) учреждениях, утвержденной  Распоряжением Правительства Российской Федерации № 2190-р от 26.11.2012, составлен </w:t>
      </w:r>
      <w:r w:rsidRPr="00A268AF">
        <w:rPr>
          <w:rFonts w:eastAsia="Times New Roman"/>
          <w:bCs/>
          <w:lang w:eastAsia="ru-RU"/>
        </w:rPr>
        <w:t>План мероприятий («Дорожная карта») «Изменения в отраслях социальной сферы, направленные на повышение эффективности образования в Сосновоборском городском округе</w:t>
      </w:r>
      <w:r w:rsidRPr="00A268AF">
        <w:rPr>
          <w:rFonts w:eastAsia="Times New Roman"/>
          <w:b/>
          <w:bCs/>
          <w:lang w:eastAsia="ru-RU"/>
        </w:rPr>
        <w:t xml:space="preserve">», </w:t>
      </w:r>
      <w:r w:rsidRPr="00A268AF">
        <w:rPr>
          <w:rFonts w:eastAsia="Times New Roman"/>
          <w:lang w:eastAsia="ru-RU"/>
        </w:rPr>
        <w:t>планируется увеличение среднемесячной номинальной начисленной зарплаты работников образовательных учреждений в 2021-2023 годах в среднем на 4 % ежегодно.</w:t>
      </w:r>
      <w:proofErr w:type="gramEnd"/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b/>
          <w:lang w:eastAsia="ru-RU"/>
        </w:rPr>
        <w:t>- муниципальных учреждений культуры и искусства</w:t>
      </w:r>
      <w:r w:rsidRPr="00A268AF">
        <w:rPr>
          <w:rFonts w:eastAsia="Times New Roman"/>
          <w:lang w:eastAsia="ru-RU"/>
        </w:rPr>
        <w:t>.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Среднемесячная номинальная начисленная заработная плата работников муниципальных учреждений культуры и искусства составила: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за 2019 год – 44 796,32 руб., или 107,1 % к предыдущему году;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- за 2020 год – </w:t>
      </w:r>
      <w:r w:rsidRPr="00A268AF">
        <w:t xml:space="preserve">44 543,44 </w:t>
      </w:r>
      <w:r w:rsidRPr="00A268AF">
        <w:rPr>
          <w:rFonts w:eastAsia="Times New Roman"/>
          <w:lang w:eastAsia="ru-RU"/>
        </w:rPr>
        <w:t>руб., или 99,4 % к предыдущему году.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На 2021 год – 45 257,37 рублей.  В 2022-2023 годах планируется увеличение среднемесячной номинальной начисленной заработной платы работников муниципальных учреждений культуры и искусства в среднем на 4 % ежегодно.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- муниципальных учреждений физической культуры и спорта.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Среднемесячная номинальная начисленная заработная плата работников муниципальных учреждений физической культуры и спорта составила: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за 2019 год – 38 071 руб., или 100,7 % к предыдущему году;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за 2020 год – 40 249 руб., или 105,7 % к предыдущему году.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2021-2023 годах планируется увеличение среднемесячной номинальной начисленной заработной платы работников муниципальных учреждений физической культуры и спорта в среднем на 4 % ежегодно.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II</w:t>
      </w:r>
      <w:r w:rsidRPr="00A268AF">
        <w:rPr>
          <w:rFonts w:eastAsia="Times New Roman"/>
          <w:b/>
          <w:sz w:val="28"/>
          <w:szCs w:val="28"/>
          <w:lang w:eastAsia="ru-RU"/>
        </w:rPr>
        <w:t>. Дошкольное образование</w:t>
      </w:r>
    </w:p>
    <w:p w:rsidR="005670AC" w:rsidRPr="00A268AF" w:rsidRDefault="005670AC" w:rsidP="005670AC">
      <w:pPr>
        <w:keepNext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eastAsia="ru-RU"/>
        </w:rPr>
        <w:t>Х</w:t>
      </w:r>
      <w:r w:rsidRPr="00A268AF">
        <w:rPr>
          <w:rFonts w:eastAsia="Times New Roman"/>
          <w:b/>
          <w:bCs/>
          <w:sz w:val="28"/>
          <w:szCs w:val="28"/>
          <w:lang w:eastAsia="ru-RU"/>
        </w:rPr>
        <w:t>арактеристика отрасли</w:t>
      </w:r>
    </w:p>
    <w:p w:rsidR="005670AC" w:rsidRPr="00A268AF" w:rsidRDefault="005670AC" w:rsidP="005670AC">
      <w:pPr>
        <w:keepNext/>
        <w:adjustRightInd w:val="0"/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proofErr w:type="gramStart"/>
      <w:r w:rsidRPr="00A268AF">
        <w:rPr>
          <w:rFonts w:eastAsia="Times New Roman"/>
          <w:lang w:eastAsia="ru-RU"/>
        </w:rPr>
        <w:t>В</w:t>
      </w:r>
      <w:proofErr w:type="gramEnd"/>
      <w:r w:rsidRPr="00A268AF">
        <w:rPr>
          <w:rFonts w:eastAsia="Times New Roman"/>
          <w:lang w:eastAsia="ru-RU"/>
        </w:rPr>
        <w:t xml:space="preserve"> </w:t>
      </w:r>
      <w:proofErr w:type="gramStart"/>
      <w:r w:rsidRPr="00A268AF">
        <w:rPr>
          <w:rFonts w:eastAsia="Times New Roman"/>
          <w:lang w:eastAsia="ru-RU"/>
        </w:rPr>
        <w:t>Сосновоборском</w:t>
      </w:r>
      <w:proofErr w:type="gramEnd"/>
      <w:r w:rsidRPr="00A268AF">
        <w:rPr>
          <w:rFonts w:eastAsia="Times New Roman"/>
          <w:lang w:eastAsia="ru-RU"/>
        </w:rPr>
        <w:t xml:space="preserve"> городском округе 14 муниципальных бюджетных дошкольных образовательных учреждений, среди которых 3 учреждения – центры развития ребенка, 11 дошкольных образовательных учреждений.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На 31.12.2020 в дошкольных учреждениях города – 3718 детей, что немногим меньше показателя 2019 года (3738). Численность детей, посещающих группы раннего возраста (от 1 до 3 лет) в муниципальных бюджетных дошкольных образовательных учреждениях, составляет 749 детей (2019 год – 841 ребенок), посещающих группы для детей в возрасте от 3 до 7 лет – 2969 детей (2019 год – 2897 детей).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Потребности горожан в местах в дошкольных учреждениях для детей с 3 до 7 лет обеспечены на 99,86 %. 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2020 году потребность в местах в детских садах снизилась.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2020 году началось строительство нового детского сада на 240 мест.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lang w:eastAsia="ru-RU"/>
        </w:rPr>
        <w:t>Доля детей в возрасте 1 - 6 лет, получающих дошкольную образовательную услугу, в 2020 году составляет 87,12 %, что выше уровня 2019 года (84,8 %).  По сравнению с 2019 годом в муниципальных бюджетных дошкольных образовательных учреждениях не произошло увеличение численности детей. Прирост населения в возрасте 1 - 6 лет в округе позволяет увеличить охват дошкольным образованием в муниципальных бюджетных дошкольных образовательных учреждениях детей, нуждающихся в данной услуге.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На 2021-2023 годы запланирован рост значения показателя к 2020 году.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Показатель 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 в 2020 году, составила 3,17 %, что значительно ниже уровня предыдущего года (12,5 %). </w:t>
      </w: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lang w:eastAsia="ru-RU"/>
        </w:rPr>
        <w:t xml:space="preserve">Дети возраста 3-7 лет обеспечены местами на 99,86 %. На учете для предоставления места в детском саду в течение учебного года остается 5 детей-инвалидов с ОВЗ в возрасте от 3 до 6 лет. </w:t>
      </w:r>
    </w:p>
    <w:p w:rsidR="005670AC" w:rsidRPr="00A268AF" w:rsidRDefault="005670AC" w:rsidP="005670AC">
      <w:pPr>
        <w:keepNext/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году ожидается снижение значения показателя к 2020 году.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</w:rPr>
      </w:pPr>
      <w:r w:rsidRPr="00A268AF">
        <w:rPr>
          <w:rFonts w:eastAsia="Times New Roman"/>
          <w:b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5670AC" w:rsidRPr="00A268AF" w:rsidRDefault="005670AC" w:rsidP="005670AC">
      <w:pPr>
        <w:ind w:firstLine="709"/>
        <w:rPr>
          <w:rFonts w:eastAsia="Times New Roman"/>
          <w:b/>
        </w:rPr>
      </w:pPr>
      <w:r w:rsidRPr="00A268AF">
        <w:rPr>
          <w:rFonts w:eastAsia="Times New Roman"/>
        </w:rPr>
        <w:t xml:space="preserve">Ни одно из 14 дошкольных учреждений не находятся в аварийном состоянии. Ежегодно из бюджета города выделяются средства на текущий и капитальный ремонты дошкольных учреждений.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годах планируется сохранить нулевое значение показателя.</w:t>
      </w:r>
    </w:p>
    <w:p w:rsidR="005670AC" w:rsidRPr="00A268AF" w:rsidRDefault="005670AC" w:rsidP="005670AC">
      <w:pPr>
        <w:ind w:firstLine="709"/>
        <w:rPr>
          <w:rFonts w:eastAsia="Times New Roman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lastRenderedPageBreak/>
        <w:t>III</w:t>
      </w:r>
      <w:r w:rsidRPr="00A268AF">
        <w:rPr>
          <w:rFonts w:eastAsia="Times New Roman"/>
          <w:b/>
          <w:sz w:val="28"/>
          <w:szCs w:val="28"/>
          <w:lang w:eastAsia="ru-RU"/>
        </w:rPr>
        <w:t>. Общее и дополнительное образование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eastAsia="ru-RU"/>
        </w:rPr>
        <w:t>Характеристика отрасли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На территории Сосновоборского городского округа располагается </w:t>
      </w:r>
      <w:r w:rsidRPr="00A268AF">
        <w:rPr>
          <w:rFonts w:eastAsia="Times New Roman"/>
          <w:b/>
          <w:lang w:eastAsia="ru-RU"/>
        </w:rPr>
        <w:t>10 общеобразовательных учреждений</w:t>
      </w:r>
      <w:r w:rsidRPr="00A268AF">
        <w:rPr>
          <w:rFonts w:eastAsia="Times New Roman"/>
          <w:lang w:eastAsia="ru-RU"/>
        </w:rPr>
        <w:t>, в том числе 9 муниципальных бюджетных общеобразовательных учреждений (среди них гимназия, лицей, школа с углубленным изучением английского языка) и 1 негосударственное образовательное учреждение.</w:t>
      </w:r>
    </w:p>
    <w:p w:rsidR="005670AC" w:rsidRPr="00A268AF" w:rsidRDefault="005670AC" w:rsidP="005670AC">
      <w:pPr>
        <w:ind w:firstLine="709"/>
        <w:rPr>
          <w:rFonts w:ascii="Arial" w:hAnsi="Arial" w:cs="Arial"/>
          <w:sz w:val="11"/>
          <w:szCs w:val="11"/>
          <w:shd w:val="clear" w:color="auto" w:fill="FFFFFF"/>
        </w:rPr>
      </w:pPr>
      <w:r w:rsidRPr="00A268AF">
        <w:t>В 2020 году в общеобразовательных организациях города (подведомственных Комитету образования Сосновоборского городского округа и в АНОО «Сосновоборская частная школа») обучалось 6409 учащихся, что больше на 87 чел. в сравнении с 2019 годом.</w:t>
      </w:r>
      <w:r w:rsidRPr="00A268AF">
        <w:rPr>
          <w:rFonts w:ascii="Arial" w:hAnsi="Arial" w:cs="Arial"/>
          <w:sz w:val="11"/>
          <w:szCs w:val="11"/>
          <w:shd w:val="clear" w:color="auto" w:fill="FFFFFF"/>
        </w:rPr>
        <w:t xml:space="preserve"> </w:t>
      </w:r>
    </w:p>
    <w:p w:rsidR="005670AC" w:rsidRPr="00A268AF" w:rsidRDefault="005670AC" w:rsidP="005670AC">
      <w:pPr>
        <w:ind w:firstLine="708"/>
      </w:pPr>
      <w:proofErr w:type="gramStart"/>
      <w:r w:rsidRPr="00A268AF">
        <w:t>В первые</w:t>
      </w:r>
      <w:proofErr w:type="gramEnd"/>
      <w:r w:rsidRPr="00A268AF">
        <w:t xml:space="preserve"> классы принято 705 человек. В 10 классы принято 343 учащихся.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rPr>
          <w:bCs/>
        </w:rPr>
        <w:t>В связи с ежегодным увеличением численности обучающихся, особенно на уровне начального общего образования, в 2020 году МБОУ «Лицей №8» получило лицензию на право оказывать образовательные услуги по реализации образовательных программ начального общего образования и набрало первый класс.</w:t>
      </w:r>
    </w:p>
    <w:p w:rsidR="005670AC" w:rsidRPr="00A268AF" w:rsidRDefault="005670AC" w:rsidP="005670AC">
      <w:pPr>
        <w:ind w:firstLine="708"/>
        <w:rPr>
          <w:bCs/>
        </w:rPr>
      </w:pPr>
      <w:r w:rsidRPr="00A268AF">
        <w:rPr>
          <w:bCs/>
        </w:rPr>
        <w:t>Сформировано 13 классов для детей с ограниченными возможностями здоровья, в которых обучается 170 человек.</w:t>
      </w:r>
    </w:p>
    <w:p w:rsidR="005670AC" w:rsidRPr="00A268AF" w:rsidRDefault="005670AC" w:rsidP="005670AC">
      <w:pPr>
        <w:ind w:firstLine="709"/>
      </w:pPr>
      <w:r w:rsidRPr="00A268AF">
        <w:rPr>
          <w:bCs/>
        </w:rPr>
        <w:t>В 2020 году 330 из 331 выпускников получили аттестат о среднем общем образовании. Удельный вес численности выпускников 11(12) классов, получивших аттестат о среднем общем образовании, от общего количества выпускников – 99,7%. (2019 г. – 100%).</w:t>
      </w:r>
    </w:p>
    <w:p w:rsidR="005670AC" w:rsidRPr="00A268AF" w:rsidRDefault="005670AC" w:rsidP="005670AC">
      <w:pPr>
        <w:ind w:firstLine="709"/>
        <w:rPr>
          <w:bCs/>
        </w:rPr>
      </w:pPr>
      <w:proofErr w:type="gramStart"/>
      <w:r w:rsidRPr="00A268AF">
        <w:rPr>
          <w:bCs/>
        </w:rPr>
        <w:t>В 2020 году в Сосновоборском городском округе получено 6 стобалльных результатов (4 по русскому языку, 2 по литературе) (в 2019 году – 5 стобалльных результатов (2 по русскому языку, 1 по химии, 1 по физике, 1 по информатике).</w:t>
      </w:r>
      <w:proofErr w:type="gramEnd"/>
    </w:p>
    <w:p w:rsidR="005670AC" w:rsidRPr="00A268AF" w:rsidRDefault="005670AC" w:rsidP="005670AC">
      <w:pPr>
        <w:ind w:firstLine="709"/>
        <w:rPr>
          <w:bCs/>
        </w:rPr>
      </w:pPr>
      <w:proofErr w:type="gramStart"/>
      <w:r w:rsidRPr="00A268AF">
        <w:rPr>
          <w:bCs/>
        </w:rPr>
        <w:t>В</w:t>
      </w:r>
      <w:proofErr w:type="gramEnd"/>
      <w:r w:rsidRPr="00A268AF">
        <w:rPr>
          <w:bCs/>
        </w:rPr>
        <w:t xml:space="preserve"> </w:t>
      </w:r>
      <w:proofErr w:type="gramStart"/>
      <w:r w:rsidRPr="00A268AF">
        <w:rPr>
          <w:bCs/>
        </w:rPr>
        <w:t>Сосновоборском</w:t>
      </w:r>
      <w:proofErr w:type="gramEnd"/>
      <w:r w:rsidRPr="00A268AF">
        <w:rPr>
          <w:bCs/>
        </w:rPr>
        <w:t xml:space="preserve"> городском округе функционируют 4 муниципальных бюджетных учреждения дополнительного образования детей: Центр развития творчества детей и юношества, Дом детского творчества, Детско-юношеская спортивная школа, Дом детско-юношеского туризма и экскурсий. В 2020 году произошло объединение двух учреждений дополнительного образования: к МБОУДО "«ЦРТ» присоединился МАОУ ДО «ЦИТ».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rPr>
          <w:bCs/>
        </w:rPr>
        <w:t>В 2020 году учреждениями дополнительного образования охвачены 6424 детей в возрасте от 5 до 18 лет.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rPr>
          <w:bCs/>
        </w:rPr>
        <w:t>Всего за 2020 год 4 организации дополнительного образования организовали и провели 123 городских мероприятия, в которых приняли участие 8867 человек, а также в 44 областных, региональных, всероссийских и международных мероприятиях – 451 участник, 79 победителей и призеров.</w:t>
      </w:r>
    </w:p>
    <w:p w:rsidR="005670AC" w:rsidRPr="00A268AF" w:rsidRDefault="005670AC" w:rsidP="005670AC">
      <w:pPr>
        <w:ind w:firstLine="708"/>
        <w:rPr>
          <w:bCs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</w:pPr>
      <w:r w:rsidRPr="00A268AF">
        <w:rPr>
          <w:b/>
        </w:rPr>
        <w:t xml:space="preserve">Показатель 12. </w:t>
      </w:r>
      <w:r w:rsidRPr="00A268AF">
        <w:t>Исключен.</w:t>
      </w:r>
    </w:p>
    <w:p w:rsidR="005670AC" w:rsidRPr="00A268AF" w:rsidRDefault="005670AC" w:rsidP="005670AC">
      <w:pPr>
        <w:ind w:firstLine="709"/>
        <w:rPr>
          <w:b/>
        </w:rPr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5670AC" w:rsidRPr="00A268AF" w:rsidRDefault="005670AC" w:rsidP="005670AC">
      <w:pPr>
        <w:ind w:firstLine="709"/>
      </w:pPr>
      <w:r w:rsidRPr="00A268AF"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в 2020 году составила 0,3 % (в 2019 году – 0,4 %).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годах планируется нулевое значение показателя.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670AC" w:rsidRPr="00A268AF" w:rsidRDefault="005670AC" w:rsidP="005670AC">
      <w:pPr>
        <w:ind w:firstLine="709"/>
      </w:pPr>
      <w:r w:rsidRPr="00A268AF">
        <w:lastRenderedPageBreak/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2020 году составляет 100 %.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годах планируется сохранить значение показателя, равное 100 %.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5670AC" w:rsidRPr="00A268AF" w:rsidRDefault="005670AC" w:rsidP="005670AC">
      <w:pPr>
        <w:ind w:firstLine="709"/>
      </w:pPr>
      <w:r w:rsidRPr="00A268AF"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2020 году составляет 11,0 %.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</w:pPr>
      <w:r w:rsidRPr="00A268AF">
        <w:rPr>
          <w:rFonts w:eastAsia="Times New Roman"/>
          <w:lang w:eastAsia="ru-RU"/>
        </w:rPr>
        <w:t>Значение показателя на 2021 год планируется на уровне 11,0 %. С 2022 года планируется снизить показатель до 0 %.</w:t>
      </w:r>
    </w:p>
    <w:p w:rsidR="005670AC" w:rsidRPr="00A268AF" w:rsidRDefault="005670AC" w:rsidP="005670AC">
      <w:pPr>
        <w:ind w:firstLine="709"/>
        <w:rPr>
          <w:b/>
        </w:rPr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 xml:space="preserve">Показатель 16. Доля детей первой и второй групп здоровья в общей </w:t>
      </w:r>
      <w:proofErr w:type="gramStart"/>
      <w:r w:rsidRPr="00A268AF">
        <w:rPr>
          <w:b/>
        </w:rPr>
        <w:t>численности</w:t>
      </w:r>
      <w:proofErr w:type="gramEnd"/>
      <w:r w:rsidRPr="00A268AF">
        <w:rPr>
          <w:b/>
        </w:rPr>
        <w:t xml:space="preserve"> обучающихся в муниципальных общеобразовательных учреждениях.</w:t>
      </w:r>
    </w:p>
    <w:p w:rsidR="005670AC" w:rsidRPr="00A268AF" w:rsidRDefault="005670AC" w:rsidP="005670AC">
      <w:pPr>
        <w:ind w:firstLine="708"/>
      </w:pPr>
      <w:r w:rsidRPr="00A268AF">
        <w:t xml:space="preserve">Доля детей I и II групп здоровья в общей </w:t>
      </w:r>
      <w:proofErr w:type="gramStart"/>
      <w:r w:rsidRPr="00A268AF">
        <w:t>численности</w:t>
      </w:r>
      <w:proofErr w:type="gramEnd"/>
      <w:r w:rsidRPr="00A268AF">
        <w:t xml:space="preserve"> обучающихся в муниципальных  общеобразовательных учреждениях в 2020 году составила 76,10 %, что на 0,1 % больше, чем в 2019 году. Данный показатель указывает на то, что в общеобразовательных учреждениях города созданы условия для сохранения здоровья детей. Улучшается санитарно-гигиеническое состояние учреждений: освещенность, воздушно-тепловой режим. Изучаются и внедряются в учебный процесс здоровьесберегающие технологии.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На 2021-2023 годы запланирована небольшая положительная динамика показателя.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pStyle w:val="ae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A268AF">
        <w:rPr>
          <w:rFonts w:ascii="Times New Roman" w:hAnsi="Times New Roman"/>
          <w:b/>
          <w:szCs w:val="24"/>
          <w:lang w:val="ru-RU"/>
        </w:rPr>
        <w:t xml:space="preserve">Показатель 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A268AF">
        <w:rPr>
          <w:rFonts w:ascii="Times New Roman" w:hAnsi="Times New Roman"/>
          <w:b/>
          <w:szCs w:val="24"/>
          <w:lang w:val="ru-RU"/>
        </w:rPr>
        <w:t>численности</w:t>
      </w:r>
      <w:proofErr w:type="gramEnd"/>
      <w:r w:rsidRPr="00A268AF">
        <w:rPr>
          <w:rFonts w:ascii="Times New Roman" w:hAnsi="Times New Roman"/>
          <w:b/>
          <w:szCs w:val="24"/>
          <w:lang w:val="ru-RU"/>
        </w:rPr>
        <w:t xml:space="preserve"> обучающихся в муниципальных общеобразовательных учреждениях.</w:t>
      </w:r>
    </w:p>
    <w:p w:rsidR="005670AC" w:rsidRPr="00A268AF" w:rsidRDefault="005670AC" w:rsidP="005670AC">
      <w:pPr>
        <w:pStyle w:val="ae"/>
        <w:ind w:firstLine="709"/>
        <w:jc w:val="both"/>
        <w:rPr>
          <w:rStyle w:val="20"/>
          <w:rFonts w:ascii="Times New Roman" w:hAnsi="Times New Roman"/>
          <w:sz w:val="24"/>
          <w:szCs w:val="24"/>
          <w:lang w:val="ru-RU"/>
        </w:rPr>
      </w:pPr>
      <w:proofErr w:type="gramStart"/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>Сосновоборском</w:t>
      </w:r>
      <w:proofErr w:type="gramEnd"/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 xml:space="preserve"> городском округе все образовательные учреждения работают в одну смену, занимающиеся во </w:t>
      </w:r>
      <w:r w:rsidRPr="00A268AF">
        <w:rPr>
          <w:rStyle w:val="20"/>
          <w:rFonts w:ascii="Times New Roman" w:hAnsi="Times New Roman"/>
          <w:sz w:val="24"/>
          <w:szCs w:val="24"/>
        </w:rPr>
        <w:t>II</w:t>
      </w:r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 xml:space="preserve"> и </w:t>
      </w:r>
      <w:r w:rsidRPr="00A268AF">
        <w:rPr>
          <w:rStyle w:val="20"/>
          <w:rFonts w:ascii="Times New Roman" w:hAnsi="Times New Roman"/>
          <w:sz w:val="24"/>
          <w:szCs w:val="24"/>
        </w:rPr>
        <w:t>III</w:t>
      </w:r>
      <w:r w:rsidRPr="00A268AF">
        <w:rPr>
          <w:rStyle w:val="20"/>
          <w:rFonts w:ascii="Times New Roman" w:hAnsi="Times New Roman"/>
          <w:sz w:val="24"/>
          <w:szCs w:val="24"/>
          <w:lang w:val="ru-RU"/>
        </w:rPr>
        <w:t xml:space="preserve"> смены отсутствуют.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годах планируется сохранить нулевое значение показателя.</w:t>
      </w:r>
    </w:p>
    <w:p w:rsidR="005670AC" w:rsidRPr="00A268AF" w:rsidRDefault="005670AC" w:rsidP="005670AC">
      <w:pPr>
        <w:pStyle w:val="ae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5670AC" w:rsidRPr="00A268AF" w:rsidRDefault="005670AC" w:rsidP="005670AC">
      <w:pPr>
        <w:ind w:firstLine="708"/>
      </w:pPr>
      <w:r w:rsidRPr="00A268AF"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 в 2020 году составили 16,0 тыс. руб., что ниже уровня 2019 года.</w:t>
      </w:r>
    </w:p>
    <w:p w:rsidR="005670AC" w:rsidRPr="00A268AF" w:rsidRDefault="005670AC" w:rsidP="005670AC">
      <w:pPr>
        <w:ind w:firstLine="708"/>
      </w:pPr>
      <w:r w:rsidRPr="00A268AF">
        <w:t xml:space="preserve">Понижение связано с </w:t>
      </w:r>
      <w:r w:rsidRPr="00A268AF">
        <w:rPr>
          <w:rFonts w:eastAsia="Times New Roman"/>
          <w:lang w:eastAsia="ru-RU"/>
        </w:rPr>
        <w:t>перераспределением расходов бюджета в пользу капитального строительства объекта дошкольного образования, а также с увеличением количества детей в общеобразовательных организациях.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rPr>
          <w:rFonts w:eastAsia="Times New Roman"/>
          <w:lang w:eastAsia="ru-RU"/>
        </w:rPr>
        <w:t>На 2021-2023 годы планируется положительная динамика показателя, при этом в 2021 году показатель составит 23,87 тыс. руб. в связи с проведением реновации Школы № 4.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b/>
        </w:rPr>
        <w:t>Показатель 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5670AC" w:rsidRPr="00A268AF" w:rsidRDefault="005670AC" w:rsidP="005670AC">
      <w:pPr>
        <w:ind w:firstLine="708"/>
      </w:pPr>
      <w:r w:rsidRPr="00A268AF">
        <w:t>В 2020 году доля детей в возрасте 5-18 лет, занимающихся в учреждениях дополнительного образования, составила 77,5 %, что выше уровня 2019 года (77 %).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lastRenderedPageBreak/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rPr>
          <w:rFonts w:eastAsia="Times New Roman"/>
          <w:lang w:eastAsia="ru-RU"/>
        </w:rPr>
        <w:t>На 2021-2023 годы планируется положительная динамика показателя.</w:t>
      </w:r>
    </w:p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IV</w:t>
      </w:r>
      <w:r w:rsidRPr="00A268AF">
        <w:rPr>
          <w:rFonts w:eastAsia="Times New Roman"/>
          <w:b/>
          <w:sz w:val="28"/>
          <w:szCs w:val="28"/>
          <w:lang w:eastAsia="ru-RU"/>
        </w:rPr>
        <w:t>. Культура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bidi="en-US"/>
        </w:rPr>
        <w:t>Характеристика отрасли</w:t>
      </w:r>
    </w:p>
    <w:p w:rsidR="005670AC" w:rsidRPr="00A268AF" w:rsidRDefault="005670AC" w:rsidP="005670AC">
      <w:pPr>
        <w:keepNext/>
        <w:jc w:val="center"/>
        <w:rPr>
          <w:rFonts w:eastAsia="Times New Roman"/>
          <w:b/>
          <w:caps/>
          <w:lang w:bidi="en-US"/>
        </w:rPr>
      </w:pPr>
    </w:p>
    <w:p w:rsidR="005670AC" w:rsidRPr="00A268AF" w:rsidRDefault="005670AC" w:rsidP="005670AC">
      <w:pPr>
        <w:ind w:firstLine="709"/>
      </w:pPr>
      <w:r w:rsidRPr="00A268AF">
        <w:t xml:space="preserve">Сеть муниципальных учреждений культуры – 10 учреждений.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значения. </w:t>
      </w:r>
    </w:p>
    <w:p w:rsidR="005670AC" w:rsidRPr="00A268AF" w:rsidRDefault="005670AC" w:rsidP="005670AC">
      <w:pPr>
        <w:ind w:firstLine="709"/>
      </w:pPr>
      <w:r w:rsidRPr="00A268AF">
        <w:t>В учреждениях культуры работает 15 работников культуры со званием «Заслуженный работник культуры Российской Федерации», 11 имеют нагрудный знак Министерства культуры Российской Федерации, 21 творческий коллектив имеет звание «Народный» и «Образцовый».</w:t>
      </w:r>
    </w:p>
    <w:p w:rsidR="005670AC" w:rsidRPr="00A268AF" w:rsidRDefault="005670AC" w:rsidP="005670AC">
      <w:pPr>
        <w:ind w:firstLine="709"/>
      </w:pPr>
      <w:r w:rsidRPr="00A268AF">
        <w:t>Среднесписочная численность работников за 2020 год составила 346,4 человек (статистические данные (форма П-4)), что на 18,6 человек меньше, чем за 2019 год.</w:t>
      </w:r>
    </w:p>
    <w:p w:rsidR="005670AC" w:rsidRPr="00A268AF" w:rsidRDefault="005670AC" w:rsidP="005670AC">
      <w:pPr>
        <w:pStyle w:val="af5"/>
        <w:ind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>На конец отчетного периода количество клубных формирований составляет 110, что на 3 формирования меньше, чем за 2019 год. Число участников клубных формирований – 2007 человек, что на 173 человека меньше, чем показатель за 2019 год. За отчётный период учреждениями культуры было проведено 592 мероприятия, что на 1005 мероприятий меньше, чем в аналогичном периоде предыдущего года. Снижение количества обусловлено сложной эпидемиологической обстановкой. Количество обучающихся в школах искусств составляет 820 человек, что меньше показателя за 2019 год на 38 человек. Количество читателей в городской публичной библиотеке в отчетном периоде составило 21 047 человек, что на 1 192 человека больше, по сравнению с аналогичным периодом 2019 года. Количество посещений библиотеки составило 65 429, что на 16 429 посещений меньше по сравнению с прошлым годом. Уменьшение посещений связано с ограничениями из-за распространения коронавирусной инфекции. Количество посещений музея составило 6 050 человек, что на 627 человека меньше в сравнении с аналогичным периодом 2019 года. Снижение обусловлено сложной эпидемиологической обстановкой.</w:t>
      </w:r>
    </w:p>
    <w:p w:rsidR="005670AC" w:rsidRPr="00A268AF" w:rsidRDefault="005670AC" w:rsidP="005670AC">
      <w:pPr>
        <w:ind w:firstLine="709"/>
      </w:pPr>
      <w:r w:rsidRPr="00A268AF">
        <w:t>В 2020 году деятельность учреждений культуры осуществляется в соответствии с муниципальной программой «Развитие культуры Сосновоборского городского округа на 2019-2024 годы», которая включает пять подпрограмм:</w:t>
      </w:r>
    </w:p>
    <w:p w:rsidR="005670AC" w:rsidRPr="00A268AF" w:rsidRDefault="005670AC" w:rsidP="005670AC">
      <w:pPr>
        <w:ind w:firstLine="709"/>
      </w:pPr>
      <w:r w:rsidRPr="00A268AF">
        <w:t>1. «Библиотечное обслуживание и популяризация чтения»;</w:t>
      </w:r>
    </w:p>
    <w:p w:rsidR="005670AC" w:rsidRPr="00A268AF" w:rsidRDefault="005670AC" w:rsidP="005670AC">
      <w:pPr>
        <w:ind w:firstLine="709"/>
      </w:pPr>
      <w:r w:rsidRPr="00A268AF">
        <w:t>2. «Сохранение и охрана культурного и исторического наследия Сосновоборского городского округа»;</w:t>
      </w:r>
    </w:p>
    <w:p w:rsidR="005670AC" w:rsidRPr="00A268AF" w:rsidRDefault="005670AC" w:rsidP="005670AC">
      <w:pPr>
        <w:ind w:firstLine="709"/>
      </w:pPr>
      <w:r w:rsidRPr="00A268AF">
        <w:t>3. «Музейная деятельность»;</w:t>
      </w:r>
    </w:p>
    <w:p w:rsidR="005670AC" w:rsidRPr="00A268AF" w:rsidRDefault="005670AC" w:rsidP="005670AC">
      <w:pPr>
        <w:ind w:firstLine="709"/>
      </w:pPr>
      <w:r w:rsidRPr="00A268AF">
        <w:t xml:space="preserve">4. «Профессиональное искусство, народное творчество и </w:t>
      </w:r>
      <w:proofErr w:type="spellStart"/>
      <w:r w:rsidRPr="00A268AF">
        <w:t>культурно-досуговая</w:t>
      </w:r>
      <w:proofErr w:type="spellEnd"/>
      <w:r w:rsidRPr="00A268AF">
        <w:t xml:space="preserve"> деятельность»;</w:t>
      </w:r>
    </w:p>
    <w:p w:rsidR="005670AC" w:rsidRPr="00A268AF" w:rsidRDefault="005670AC" w:rsidP="005670AC">
      <w:pPr>
        <w:ind w:firstLine="709"/>
      </w:pPr>
      <w:r w:rsidRPr="00A268AF">
        <w:t>5. «Обеспечение реализации муниципальной программы».</w:t>
      </w:r>
    </w:p>
    <w:p w:rsidR="005670AC" w:rsidRPr="00A268AF" w:rsidRDefault="005670AC" w:rsidP="005670AC">
      <w:pPr>
        <w:pStyle w:val="af4"/>
        <w:ind w:left="0"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 xml:space="preserve">Для педагогических работников школ искусств размер средней заработной платы на 2020 год установлен в сумме 48 371,10 рублей. Установленный показатель выполнен учреждениями дополнительного образования в сфере культуры на 101 % и составил 48 968,16 рублей. </w:t>
      </w:r>
    </w:p>
    <w:p w:rsidR="005670AC" w:rsidRPr="00A268AF" w:rsidRDefault="005670AC" w:rsidP="005670AC">
      <w:pPr>
        <w:pStyle w:val="af4"/>
        <w:ind w:left="0"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 xml:space="preserve">В 2020 году размер среднемесячной заработной платы для работников учреждений культуры установлен  в  размере 44 192,67 рублей. Учреждения культуры в отчетном </w:t>
      </w:r>
      <w:proofErr w:type="gramStart"/>
      <w:r w:rsidRPr="00A268AF">
        <w:rPr>
          <w:sz w:val="24"/>
          <w:szCs w:val="24"/>
        </w:rPr>
        <w:t>периоде  достигли</w:t>
      </w:r>
      <w:proofErr w:type="gramEnd"/>
      <w:r w:rsidRPr="00A268AF">
        <w:rPr>
          <w:sz w:val="24"/>
          <w:szCs w:val="24"/>
        </w:rPr>
        <w:t xml:space="preserve"> установленные показатели в полном объеме. Среднемесячная заработная плата учреждений культуры за 2020 год составила 44 543,44 рублей, что составляет 100,79%.  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20. Уровень фактической обеспеченности учреждениями культуры от нормативной потребности: клубов и учреждений клубного типа, библиотек, парков культуры и отдыха: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lastRenderedPageBreak/>
        <w:t>- клубами и учреждениями клубного типа – 100 % (в 2019 году – 100 %);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библиотеками – 88 % (в 2019 году – 118 %), изменилась методика расчета, детская библиотека не учитывается в общей сумме, количество библиотек (4 единицы) сохраняется;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парками культуры и отдыха – 44 % (в 2019 году – 44 %).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Общее количество учреждений данных типов в округе сохраняется.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уровень обеспеченности учреждениями культуры от нормативной потребности планируется сохранить на достигнутом уровне.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 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муниципальные учреждений культуры, здания которых находятся в аварийном состоянии или требуют капитального ремонта, отсутствуют.</w:t>
      </w:r>
    </w:p>
    <w:p w:rsidR="005670AC" w:rsidRPr="00A268AF" w:rsidRDefault="005670AC" w:rsidP="005670AC">
      <w:pPr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</w:rPr>
        <w:t>В 2021-2023 годах планируется сохранить нулевое значение показателя.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Все объекты культурного наследия, находящиеся на территории Сосновоборского городского округа, относятся к объектам культурного наследия регионального значения; объектов, находящихся в муниципальной собственности, нет. Имеются лишь выявленные объекты культурного наследия, которые пока не включены в реестр культурного наследия.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объектов культурного наследия, находящихся в муниципальной собственности и требующих консервации или реставрации, не предвидится.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val="en-US" w:bidi="en-US"/>
        </w:rPr>
        <w:t>V</w:t>
      </w:r>
      <w:r w:rsidRPr="00A268AF">
        <w:rPr>
          <w:rFonts w:eastAsia="Times New Roman"/>
          <w:b/>
          <w:sz w:val="28"/>
          <w:szCs w:val="28"/>
          <w:lang w:bidi="en-US"/>
        </w:rPr>
        <w:t>. Физическая культура и спорт</w:t>
      </w: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bidi="en-US"/>
        </w:rPr>
        <w:t>Характеристика отрасли</w:t>
      </w:r>
    </w:p>
    <w:p w:rsidR="005670AC" w:rsidRPr="00A268AF" w:rsidRDefault="005670AC" w:rsidP="005670AC">
      <w:pPr>
        <w:jc w:val="center"/>
        <w:rPr>
          <w:rFonts w:eastAsia="Times New Roman"/>
          <w:b/>
          <w:lang w:bidi="en-US"/>
        </w:rPr>
      </w:pP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В настоящее время на территории Сосновоборского городского округа функционирует 201 спортивный объект с единовременной пропускной способностью</w:t>
      </w:r>
      <w:r w:rsidRPr="00A268AF">
        <w:rPr>
          <w:b/>
        </w:rPr>
        <w:t xml:space="preserve"> </w:t>
      </w:r>
      <w:r w:rsidRPr="00A268AF">
        <w:t xml:space="preserve">4201 человек. 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В объекты входят: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- 5 спортивных комплексов общей площадью 40434,7 кв</w:t>
      </w:r>
      <w:proofErr w:type="gramStart"/>
      <w:r w:rsidRPr="00A268AF">
        <w:t>.м</w:t>
      </w:r>
      <w:proofErr w:type="gramEnd"/>
      <w:r w:rsidRPr="00A268AF">
        <w:t xml:space="preserve">; 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- 37 спортивных залов общей площадью 10 942 кв. м;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- 51 плоскостное спортивное сооружение общей площадью 62 404 кв</w:t>
      </w:r>
      <w:proofErr w:type="gramStart"/>
      <w:r w:rsidRPr="00A268AF">
        <w:t>.м</w:t>
      </w:r>
      <w:proofErr w:type="gramEnd"/>
      <w:r w:rsidRPr="00A268AF">
        <w:t>;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 xml:space="preserve">- 4 </w:t>
      </w:r>
      <w:proofErr w:type="gramStart"/>
      <w:r w:rsidRPr="00A268AF">
        <w:t>плавательных</w:t>
      </w:r>
      <w:proofErr w:type="gramEnd"/>
      <w:r w:rsidRPr="00A268AF">
        <w:t xml:space="preserve"> бассейна общей площадью 470 кв. м;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- 2 лыжные базы;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- 5 сооружений для стрелковых видов спорта;</w:t>
      </w:r>
    </w:p>
    <w:p w:rsidR="005670AC" w:rsidRPr="00A268AF" w:rsidRDefault="005670AC" w:rsidP="005670AC">
      <w:pPr>
        <w:shd w:val="clear" w:color="auto" w:fill="FFFFFF"/>
        <w:ind w:firstLine="720"/>
      </w:pPr>
      <w:r w:rsidRPr="00A268AF">
        <w:t>- 36 других спортивных сооружений.</w:t>
      </w:r>
    </w:p>
    <w:p w:rsidR="005670AC" w:rsidRPr="00A268AF" w:rsidRDefault="005670AC" w:rsidP="005670AC">
      <w:pPr>
        <w:shd w:val="clear" w:color="auto" w:fill="FFFFFF"/>
        <w:ind w:firstLine="709"/>
      </w:pPr>
      <w:r w:rsidRPr="00A268AF">
        <w:t>Реализацией мероприятий по развитию в округе массовой физической культуры и спорта занимаются два учреждения подведомственные Комитету образования Сосновоборского городского округа: муниципальное бюджетное образовательное учреждение дополнительного образования «Детско-юношеская спортивная школа» и муниципальное бюджетное образовательное учреждение дополнительного образования «Дом детского туризма и экскурсий «</w:t>
      </w:r>
      <w:proofErr w:type="spellStart"/>
      <w:r w:rsidRPr="00A268AF">
        <w:t>Ювента</w:t>
      </w:r>
      <w:proofErr w:type="spellEnd"/>
      <w:r w:rsidRPr="00A268AF">
        <w:t>».</w:t>
      </w:r>
    </w:p>
    <w:p w:rsidR="005670AC" w:rsidRPr="00A268AF" w:rsidRDefault="005670AC" w:rsidP="005670AC">
      <w:pPr>
        <w:shd w:val="clear" w:color="auto" w:fill="FFFFFF"/>
        <w:ind w:firstLine="709"/>
      </w:pPr>
      <w:r w:rsidRPr="00A268AF">
        <w:t>Подведомственным учреждением отдела по физической культуре и спорту для решения этих задач является муниципальное автономное образовательное учреждение дополнительного образования Спортивно-культурный комплекс «Малахит».</w:t>
      </w:r>
    </w:p>
    <w:p w:rsidR="005670AC" w:rsidRPr="00A268AF" w:rsidRDefault="005670AC" w:rsidP="005670AC">
      <w:pPr>
        <w:ind w:firstLine="709"/>
      </w:pPr>
      <w:r w:rsidRPr="00A268AF">
        <w:t xml:space="preserve">На территории города развивается более 50 видов спорта. Численность занимающихся составляет 26062 человека, 6454 женщины, учащиеся и студенты, посещающие занятия по </w:t>
      </w:r>
      <w:r w:rsidRPr="00A268AF">
        <w:lastRenderedPageBreak/>
        <w:t xml:space="preserve">физической культуре в </w:t>
      </w:r>
      <w:proofErr w:type="spellStart"/>
      <w:r w:rsidRPr="00A268AF">
        <w:t>спецмедгруппе</w:t>
      </w:r>
      <w:proofErr w:type="spellEnd"/>
      <w:r w:rsidRPr="00A268AF">
        <w:t xml:space="preserve"> – 915 человек. Численность занимающихся в спортивных учреждениях дополнительного образования составляет 2506 человек. </w:t>
      </w:r>
    </w:p>
    <w:p w:rsidR="005670AC" w:rsidRPr="00A268AF" w:rsidRDefault="005670AC" w:rsidP="005670AC">
      <w:pPr>
        <w:ind w:firstLine="709"/>
      </w:pPr>
      <w:r w:rsidRPr="00A268AF">
        <w:t xml:space="preserve">В течение 2020 года проведено 265 спортивно-массовых мероприятий, в том числе: </w:t>
      </w:r>
    </w:p>
    <w:p w:rsidR="005670AC" w:rsidRPr="00A268AF" w:rsidRDefault="005670AC" w:rsidP="005670AC">
      <w:pPr>
        <w:ind w:firstLine="709"/>
      </w:pPr>
      <w:r w:rsidRPr="00A268AF">
        <w:t>- обеспечение участия в официальных физкультурных мероприятиях – 40;</w:t>
      </w:r>
    </w:p>
    <w:p w:rsidR="005670AC" w:rsidRPr="00A268AF" w:rsidRDefault="005670AC" w:rsidP="005670AC">
      <w:pPr>
        <w:ind w:firstLine="709"/>
      </w:pPr>
      <w:r w:rsidRPr="00A268AF">
        <w:t>- проведение занятий по месту проживания граждан на территории МО – 166;</w:t>
      </w:r>
    </w:p>
    <w:p w:rsidR="005670AC" w:rsidRPr="00A268AF" w:rsidRDefault="005670AC" w:rsidP="005670AC">
      <w:pPr>
        <w:ind w:firstLine="709"/>
      </w:pPr>
      <w:r w:rsidRPr="00A268AF">
        <w:t>- организация и проведение официальных спортивных мероприятий – 48.</w:t>
      </w:r>
    </w:p>
    <w:p w:rsidR="005670AC" w:rsidRPr="00A268AF" w:rsidRDefault="005670AC" w:rsidP="005670AC">
      <w:pPr>
        <w:pStyle w:val="af4"/>
        <w:ind w:left="0" w:firstLine="709"/>
        <w:rPr>
          <w:sz w:val="24"/>
          <w:szCs w:val="24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23. Доля населения, систематически занимающегося физической культурой и спортом.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Доля населения, систематически занимающегося физической культурой и спортом, в 2020 году немного увеличилась по сравнению с 2019 годом и составила 41,7 %. 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</w:rPr>
      </w:pPr>
      <w:r w:rsidRPr="00A268AF">
        <w:rPr>
          <w:rFonts w:eastAsia="Times New Roman"/>
          <w:lang w:eastAsia="ru-RU"/>
        </w:rPr>
        <w:t>В 2021-2023 годах долю населения, систематически занимающегося физической культурой и спортом, планируется довести до 54 %.</w:t>
      </w:r>
    </w:p>
    <w:p w:rsidR="005670AC" w:rsidRPr="00A268AF" w:rsidRDefault="005670AC" w:rsidP="005670AC">
      <w:pPr>
        <w:ind w:firstLine="709"/>
        <w:rPr>
          <w:rFonts w:eastAsia="Times New Roman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23.1. Доля </w:t>
      </w:r>
      <w:proofErr w:type="gramStart"/>
      <w:r w:rsidRPr="00A268AF">
        <w:rPr>
          <w:rFonts w:eastAsia="Times New Roman"/>
          <w:b/>
          <w:bCs/>
          <w:lang w:eastAsia="ru-RU"/>
        </w:rPr>
        <w:t>обучающихся</w:t>
      </w:r>
      <w:proofErr w:type="gramEnd"/>
      <w:r w:rsidRPr="00A268AF">
        <w:rPr>
          <w:rFonts w:eastAsia="Times New Roman"/>
          <w:b/>
          <w:bCs/>
          <w:lang w:eastAsia="ru-RU"/>
        </w:rPr>
        <w:t>, систематически занимающихся физической культурой и спортом, в общей численности обучающихся.</w:t>
      </w: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lang w:eastAsia="ru-RU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A268AF">
        <w:rPr>
          <w:rFonts w:eastAsia="Times New Roman"/>
          <w:lang w:eastAsia="ru-RU"/>
        </w:rPr>
        <w:t>численности</w:t>
      </w:r>
      <w:proofErr w:type="gramEnd"/>
      <w:r w:rsidRPr="00A268AF">
        <w:rPr>
          <w:rFonts w:eastAsia="Times New Roman"/>
          <w:lang w:eastAsia="ru-RU"/>
        </w:rPr>
        <w:t xml:space="preserve"> обучающихся в 2020 году немного увеличилась по сравнению с 2019 годом и составила  95,8 %.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</w:rPr>
      </w:pPr>
      <w:r w:rsidRPr="00A268AF">
        <w:rPr>
          <w:rFonts w:eastAsia="Times New Roman"/>
          <w:lang w:eastAsia="ru-RU"/>
        </w:rPr>
        <w:t>В 2021-2023 годах долю обучающихся, систематически занимающихся физической культурой и спортом, планируется обеспечить на уровне не ниже 95 %.</w:t>
      </w:r>
    </w:p>
    <w:p w:rsidR="005670AC" w:rsidRPr="00A268AF" w:rsidRDefault="005670AC" w:rsidP="005670AC">
      <w:pPr>
        <w:ind w:firstLine="709"/>
        <w:rPr>
          <w:rFonts w:eastAsia="Times New Roman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VI</w:t>
      </w:r>
      <w:r w:rsidRPr="00A268AF">
        <w:rPr>
          <w:rFonts w:eastAsia="Times New Roman"/>
          <w:b/>
          <w:sz w:val="28"/>
          <w:szCs w:val="28"/>
          <w:lang w:eastAsia="ru-RU"/>
        </w:rPr>
        <w:t>. Жилищное строительство и обеспечение граждан жильем</w:t>
      </w: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eastAsia="ru-RU"/>
        </w:rPr>
        <w:t>Характеристика отрасли</w:t>
      </w:r>
    </w:p>
    <w:p w:rsidR="005670AC" w:rsidRPr="00A268AF" w:rsidRDefault="005670AC" w:rsidP="005670AC">
      <w:pPr>
        <w:jc w:val="center"/>
        <w:rPr>
          <w:rFonts w:eastAsia="Times New Roman"/>
          <w:b/>
          <w:lang w:eastAsia="ru-RU"/>
        </w:rPr>
      </w:pPr>
    </w:p>
    <w:p w:rsidR="005670AC" w:rsidRPr="00A268AF" w:rsidRDefault="005670AC" w:rsidP="005670AC">
      <w:pPr>
        <w:ind w:firstLine="709"/>
      </w:pPr>
      <w:r w:rsidRPr="00A268AF">
        <w:t>За отчетный год в городе введено в эксплуатацию жильё общей площадью 37,55 тыс. кв. м, в том числе индивидуальные жилые дома общей площадью 31,425 тыс. кв. м., в предыдущем году введено жильё общей площадью 51,92 тыс. кв. м., в том числе индивидуальные жилые дома общей площадью 11,661 тыс. кв. м.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Средняя обеспеченность общей площадью на одного жителя Сосновоборского городского округа на 01.01.2021 составила 23,47 кв. м. (на 01.01.2020 – 22,71 кв. м.).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>На 01.01.2021 на учете в качестве нуждающихся в жилых помещениях, предоставляемых по договорам социального найма, состоит 441 семья, в том числе льготной категории граждан - 146 семей.</w:t>
      </w:r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>За 2020 год:</w:t>
      </w:r>
    </w:p>
    <w:p w:rsidR="005670AC" w:rsidRPr="00A268AF" w:rsidRDefault="005670AC" w:rsidP="005670AC">
      <w:pPr>
        <w:ind w:firstLine="709"/>
        <w:rPr>
          <w:rFonts w:eastAsia="Calibri"/>
        </w:rPr>
      </w:pPr>
      <w:proofErr w:type="gramStart"/>
      <w:r w:rsidRPr="00A268AF">
        <w:rPr>
          <w:rFonts w:eastAsia="Calibri"/>
        </w:rPr>
        <w:t xml:space="preserve">- принято на учет в качестве нуждающихся в жилых помещениях, предоставляемых по договорам социального найма - 2 семьи. </w:t>
      </w:r>
      <w:proofErr w:type="gramEnd"/>
    </w:p>
    <w:p w:rsidR="005670AC" w:rsidRPr="00A268AF" w:rsidRDefault="005670AC" w:rsidP="005670AC">
      <w:pPr>
        <w:pStyle w:val="af4"/>
        <w:ind w:left="0" w:firstLine="709"/>
        <w:jc w:val="both"/>
        <w:rPr>
          <w:sz w:val="24"/>
          <w:szCs w:val="24"/>
        </w:rPr>
      </w:pPr>
      <w:proofErr w:type="gramStart"/>
      <w:r w:rsidRPr="00A268AF">
        <w:rPr>
          <w:sz w:val="24"/>
          <w:szCs w:val="24"/>
        </w:rPr>
        <w:t>- сняты с учета - 86 семей, льготной очереди  -  26 семей.</w:t>
      </w:r>
      <w:proofErr w:type="gramEnd"/>
    </w:p>
    <w:p w:rsidR="005670AC" w:rsidRPr="00A268AF" w:rsidRDefault="005670AC" w:rsidP="005670AC">
      <w:pPr>
        <w:ind w:firstLine="709"/>
        <w:rPr>
          <w:rFonts w:eastAsia="Calibri"/>
        </w:rPr>
      </w:pPr>
      <w:r w:rsidRPr="00A268AF">
        <w:rPr>
          <w:rFonts w:eastAsia="Calibri"/>
        </w:rPr>
        <w:t xml:space="preserve">- признаны нуждающимися в улучшении жилищных условий (без принятия на учет) в целях участия в жилищных программах - 32 семьи. </w:t>
      </w:r>
    </w:p>
    <w:p w:rsidR="005670AC" w:rsidRPr="00A268AF" w:rsidRDefault="005670AC" w:rsidP="005670AC">
      <w:pPr>
        <w:ind w:firstLine="709"/>
        <w:rPr>
          <w:rFonts w:eastAsia="Calibri"/>
        </w:rPr>
      </w:pPr>
      <w:proofErr w:type="gramStart"/>
      <w:r w:rsidRPr="00A268AF">
        <w:rPr>
          <w:rFonts w:eastAsia="Calibri"/>
        </w:rPr>
        <w:t>В рамках реализации национального пр</w:t>
      </w:r>
      <w:r w:rsidRPr="00A268AF">
        <w:t xml:space="preserve">оекта «Жилье и городская среда» </w:t>
      </w:r>
      <w:r w:rsidRPr="00A268AF">
        <w:rPr>
          <w:rFonts w:eastAsia="Calibri"/>
        </w:rPr>
        <w:t>в 2</w:t>
      </w:r>
      <w:r w:rsidRPr="00A268AF">
        <w:t xml:space="preserve">020 году 4 молодые семьи – </w:t>
      </w:r>
      <w:r w:rsidRPr="00A268AF">
        <w:rPr>
          <w:rFonts w:eastAsia="Calibri"/>
        </w:rPr>
        <w:t>участники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стали претендентами на получение средств социальной выплаты.</w:t>
      </w:r>
      <w:proofErr w:type="gramEnd"/>
      <w:r w:rsidRPr="00A268AF">
        <w:rPr>
          <w:rFonts w:eastAsia="Calibri"/>
        </w:rPr>
        <w:t xml:space="preserve"> Семьями приобретены жилые помещения общей площадью 217,0 кв.м.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eastAsia="ru-RU"/>
        </w:rPr>
        <w:lastRenderedPageBreak/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 xml:space="preserve">Показатель 24. Общая площадь жилых помещений, приходящаяся в среднем на одного жителя – всего, </w:t>
      </w: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 xml:space="preserve">в том числе </w:t>
      </w:r>
      <w:proofErr w:type="gramStart"/>
      <w:r w:rsidRPr="00A268AF">
        <w:rPr>
          <w:rFonts w:eastAsia="Times New Roman"/>
          <w:b/>
          <w:lang w:eastAsia="ru-RU"/>
        </w:rPr>
        <w:t>введенная</w:t>
      </w:r>
      <w:proofErr w:type="gramEnd"/>
      <w:r w:rsidRPr="00A268AF">
        <w:rPr>
          <w:rFonts w:eastAsia="Times New Roman"/>
          <w:b/>
          <w:lang w:eastAsia="ru-RU"/>
        </w:rPr>
        <w:t xml:space="preserve"> в действие за один год.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proofErr w:type="gramStart"/>
      <w:r w:rsidRPr="00A268AF">
        <w:rPr>
          <w:rFonts w:eastAsia="Times New Roman"/>
          <w:lang w:eastAsia="ru-RU"/>
        </w:rPr>
        <w:t>Средняя обеспеченность общей площадью на одного жителя Сосновоборского городского округа в 2020 году увеличилась по сравнению с 2019 годом за счёт убыли населения и сдачи застройщиком, ООО «</w:t>
      </w:r>
      <w:proofErr w:type="spellStart"/>
      <w:r w:rsidRPr="00A268AF">
        <w:rPr>
          <w:rFonts w:eastAsia="Times New Roman"/>
          <w:lang w:eastAsia="ru-RU"/>
        </w:rPr>
        <w:t>Монтажстрой</w:t>
      </w:r>
      <w:proofErr w:type="spellEnd"/>
      <w:r w:rsidRPr="00A268AF">
        <w:rPr>
          <w:rFonts w:eastAsia="Times New Roman"/>
          <w:lang w:eastAsia="ru-RU"/>
        </w:rPr>
        <w:t>», в эксплуатацию  многоквартирного жилого дома средней этажности по адресу Ленинградская обл., г. Сосновый Бор, ул. Солнечная, д. 36 и составила 23,47 кв. м. (в 2019 году – 22,71 кв. м.).</w:t>
      </w:r>
      <w:proofErr w:type="gramEnd"/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том числе площадь жилых помещений, введённая в действие за 2020 год – 0,55 кв.м., меньше, чем за 2019 год (0,76 кв. м).</w:t>
      </w:r>
    </w:p>
    <w:p w:rsidR="005670AC" w:rsidRPr="00A268AF" w:rsidRDefault="005670AC" w:rsidP="005670AC">
      <w:pPr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Общая площадь жилых помещений, приходящаяся в среднем на одного жителя, с учетом планируемого ввода жилья составит: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proofErr w:type="gramStart"/>
      <w:r w:rsidRPr="00A268AF">
        <w:rPr>
          <w:rFonts w:eastAsia="Times New Roman"/>
          <w:lang w:eastAsia="ru-RU"/>
        </w:rPr>
        <w:t>2021 год – 23,89 кв. м., 2022 год – 23,96 кв. м., 2023 год – 24,02 кв. м.</w:t>
      </w:r>
      <w:proofErr w:type="gramEnd"/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том числе площадь жилых помещений, введённая в действие за год: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proofErr w:type="gramStart"/>
      <w:r w:rsidRPr="00A268AF">
        <w:rPr>
          <w:rFonts w:eastAsia="Times New Roman"/>
          <w:lang w:eastAsia="ru-RU"/>
        </w:rPr>
        <w:t>2021 год – 0,31 кв.м., 2022 год – 0,07 кв. м., 2023 год – 0,09 кв. м.</w:t>
      </w:r>
      <w:proofErr w:type="gramEnd"/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 xml:space="preserve">Показатель 25. Площадь земельных участков, предоставленных для строительства в расчете на 10 тыс. человек населения, - всего, </w:t>
      </w:r>
    </w:p>
    <w:p w:rsidR="005670AC" w:rsidRPr="00A268AF" w:rsidRDefault="005670AC" w:rsidP="005670AC">
      <w:pPr>
        <w:widowControl w:val="0"/>
        <w:autoSpaceDE w:val="0"/>
        <w:autoSpaceDN w:val="0"/>
        <w:adjustRightInd w:val="0"/>
        <w:ind w:firstLine="708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5670AC" w:rsidRPr="00A268AF" w:rsidRDefault="005670AC" w:rsidP="005670AC">
      <w:pPr>
        <w:widowControl w:val="0"/>
        <w:autoSpaceDE w:val="0"/>
        <w:autoSpaceDN w:val="0"/>
        <w:adjustRightInd w:val="0"/>
        <w:ind w:firstLine="708"/>
      </w:pPr>
      <w:r w:rsidRPr="00A268AF">
        <w:t xml:space="preserve">Площадь земельных участков, предоставленных для строительства в 2020 году, в расчете на 10 000 чел. населения составила 1,48 га. </w:t>
      </w:r>
    </w:p>
    <w:p w:rsidR="005670AC" w:rsidRPr="00A268AF" w:rsidRDefault="005670AC" w:rsidP="005670AC">
      <w:pPr>
        <w:widowControl w:val="0"/>
        <w:autoSpaceDE w:val="0"/>
        <w:autoSpaceDN w:val="0"/>
        <w:adjustRightInd w:val="0"/>
        <w:ind w:firstLine="708"/>
      </w:pPr>
      <w:r w:rsidRPr="00A268AF">
        <w:t>В том числе площадь земельных участков, предоставленных для жилищного строительства, составила 0,19 га.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widowControl w:val="0"/>
        <w:autoSpaceDE w:val="0"/>
        <w:autoSpaceDN w:val="0"/>
        <w:adjustRightInd w:val="0"/>
        <w:ind w:firstLine="708"/>
      </w:pPr>
      <w:r w:rsidRPr="00A268AF">
        <w:rPr>
          <w:lang w:eastAsia="ru-RU"/>
        </w:rPr>
        <w:t xml:space="preserve">В 2021 году </w:t>
      </w:r>
      <w:r w:rsidRPr="00A268AF">
        <w:t xml:space="preserve">площадь земельных участков, предоставленных для строительства, в расчете на 10 000 чел. населения составит 1,08 га. </w:t>
      </w:r>
    </w:p>
    <w:p w:rsidR="005670AC" w:rsidRPr="00A268AF" w:rsidRDefault="005670AC" w:rsidP="005670AC">
      <w:pPr>
        <w:widowControl w:val="0"/>
        <w:autoSpaceDE w:val="0"/>
        <w:autoSpaceDN w:val="0"/>
        <w:adjustRightInd w:val="0"/>
        <w:ind w:firstLine="708"/>
      </w:pPr>
      <w:r w:rsidRPr="00A268AF">
        <w:t>В том числе площадь земельных участков, предоставленных для жилищного строительства, составит 0,05 га.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lang w:eastAsia="ru-RU"/>
        </w:rPr>
        <w:t>В 2022-2023 годах не планируется предоставление земельных участков для строительства и в том числе для жилищного строительства.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 xml:space="preserve">Показатель 26. Площадь земельных участков, предоставленных для строительства, в отношении которых </w:t>
      </w:r>
      <w:proofErr w:type="gramStart"/>
      <w:r w:rsidRPr="00A268AF">
        <w:rPr>
          <w:rFonts w:eastAsia="Times New Roman"/>
          <w:b/>
          <w:lang w:eastAsia="ru-RU"/>
        </w:rPr>
        <w:t>с даты принятия</w:t>
      </w:r>
      <w:proofErr w:type="gramEnd"/>
      <w:r w:rsidRPr="00A268AF">
        <w:rPr>
          <w:rFonts w:eastAsia="Times New Roman"/>
          <w:b/>
          <w:lang w:eastAsia="ru-RU"/>
        </w:rPr>
        <w:t xml:space="preserve"> решения 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 xml:space="preserve">объектов жилищного строительства - в течение 3 лет, 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2020 году площадь составила 5679 кв. м., что ниже уровня 2019 года (8652 кв.м.).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2021 году показатель сократится до нулевого значения за счёт сдачи в эксплуатацию  объектов жилищного строительства застройщиком ООО «</w:t>
      </w:r>
      <w:proofErr w:type="spellStart"/>
      <w:r w:rsidRPr="00A268AF">
        <w:rPr>
          <w:rFonts w:eastAsia="Times New Roman"/>
          <w:lang w:eastAsia="ru-RU"/>
        </w:rPr>
        <w:t>Монтажстрой</w:t>
      </w:r>
      <w:proofErr w:type="spellEnd"/>
      <w:r w:rsidRPr="00A268AF">
        <w:rPr>
          <w:rFonts w:eastAsia="Times New Roman"/>
          <w:lang w:eastAsia="ru-RU"/>
        </w:rPr>
        <w:t>».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дальнейшем, в 2022-2023 годах, в связи с отсутствием иных застройщиков ожидается сохранение показателя в нулевом значении.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lang w:eastAsia="ru-RU"/>
        </w:rPr>
      </w:pPr>
      <w:r w:rsidRPr="00A268AF">
        <w:rPr>
          <w:rFonts w:eastAsia="Times New Roman"/>
          <w:b/>
          <w:lang w:eastAsia="ru-RU"/>
        </w:rPr>
        <w:t>иных объектов капитального строительства - в течение 5 лет.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2020 году площадь составила 741 кв. м., что на уровне 2019 года.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В 2021 году показатель сохранится на уровне 2020 года, в 2022-2023 годах – сократится до нуля за счет ввода в эксплуатацию </w:t>
      </w:r>
      <w:proofErr w:type="spellStart"/>
      <w:r w:rsidRPr="00A268AF">
        <w:rPr>
          <w:rFonts w:eastAsia="Times New Roman"/>
          <w:lang w:eastAsia="ru-RU"/>
        </w:rPr>
        <w:t>автомойки</w:t>
      </w:r>
      <w:proofErr w:type="spellEnd"/>
      <w:r w:rsidRPr="00A268AF">
        <w:rPr>
          <w:rFonts w:eastAsia="Times New Roman"/>
          <w:lang w:eastAsia="ru-RU"/>
        </w:rPr>
        <w:t xml:space="preserve"> застройщиком, ИП Сафиным Р.Ш.</w:t>
      </w:r>
    </w:p>
    <w:p w:rsidR="005670AC" w:rsidRPr="00A268AF" w:rsidRDefault="005670AC" w:rsidP="005670AC">
      <w:pPr>
        <w:ind w:firstLine="709"/>
        <w:rPr>
          <w:rFonts w:eastAsia="Times New Roman"/>
          <w:u w:val="single"/>
          <w:lang w:eastAsia="ru-RU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lastRenderedPageBreak/>
        <w:t>VII</w:t>
      </w:r>
      <w:r w:rsidRPr="00A268AF">
        <w:rPr>
          <w:rFonts w:eastAsia="Times New Roman"/>
          <w:b/>
          <w:sz w:val="28"/>
          <w:szCs w:val="28"/>
          <w:lang w:eastAsia="ru-RU"/>
        </w:rPr>
        <w:t>.</w:t>
      </w:r>
      <w:r w:rsidRPr="00A268AF">
        <w:rPr>
          <w:rFonts w:eastAsia="Times New Roman"/>
          <w:sz w:val="28"/>
          <w:szCs w:val="28"/>
          <w:lang w:eastAsia="ru-RU"/>
        </w:rPr>
        <w:t xml:space="preserve"> </w:t>
      </w:r>
      <w:r w:rsidRPr="00A268AF">
        <w:rPr>
          <w:rFonts w:eastAsia="Times New Roman"/>
          <w:b/>
          <w:sz w:val="28"/>
          <w:szCs w:val="28"/>
          <w:lang w:eastAsia="ru-RU"/>
        </w:rPr>
        <w:t>Жилищно-коммунальное хозяйство</w:t>
      </w:r>
    </w:p>
    <w:p w:rsidR="005670AC" w:rsidRPr="00A268AF" w:rsidRDefault="005670AC" w:rsidP="005670AC">
      <w:pPr>
        <w:tabs>
          <w:tab w:val="left" w:pos="2090"/>
          <w:tab w:val="center" w:pos="5032"/>
        </w:tabs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bidi="en-US"/>
        </w:rPr>
        <w:t>Характеристика</w:t>
      </w:r>
      <w:r w:rsidRPr="00A268AF">
        <w:rPr>
          <w:rFonts w:eastAsia="Times New Roman"/>
          <w:b/>
          <w:caps/>
          <w:sz w:val="28"/>
          <w:szCs w:val="28"/>
          <w:lang w:bidi="en-US"/>
        </w:rPr>
        <w:t xml:space="preserve"> </w:t>
      </w:r>
      <w:r w:rsidRPr="00A268AF">
        <w:rPr>
          <w:rFonts w:eastAsia="Times New Roman"/>
          <w:b/>
          <w:sz w:val="28"/>
          <w:szCs w:val="28"/>
          <w:lang w:bidi="en-US"/>
        </w:rPr>
        <w:t>отрасли</w:t>
      </w:r>
    </w:p>
    <w:p w:rsidR="005670AC" w:rsidRPr="00A268AF" w:rsidRDefault="005670AC" w:rsidP="005670AC">
      <w:pPr>
        <w:tabs>
          <w:tab w:val="left" w:pos="2090"/>
          <w:tab w:val="center" w:pos="5032"/>
        </w:tabs>
        <w:jc w:val="center"/>
        <w:rPr>
          <w:rFonts w:eastAsia="Times New Roman"/>
          <w:b/>
          <w:lang w:bidi="en-US"/>
        </w:rPr>
      </w:pPr>
    </w:p>
    <w:p w:rsidR="005670AC" w:rsidRPr="00A268AF" w:rsidRDefault="005670AC" w:rsidP="005670AC">
      <w:pPr>
        <w:pStyle w:val="af2"/>
        <w:spacing w:after="0"/>
        <w:ind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>В настоящее время в жилищно-коммунальном комплексе Сосновоборского городского округа осуществляют деятельность СМУП «Теплоснабжающее», СМУП «Водоканал», ООО «Водоканал» и управляющие организации: АО «Агентство эксплуатации недвижимости», ООО «Социум-Строй», ООО «</w:t>
      </w:r>
      <w:proofErr w:type="spellStart"/>
      <w:r w:rsidRPr="00A268AF">
        <w:rPr>
          <w:sz w:val="24"/>
          <w:szCs w:val="24"/>
        </w:rPr>
        <w:t>Титанжилком</w:t>
      </w:r>
      <w:proofErr w:type="spellEnd"/>
      <w:r w:rsidRPr="00A268AF">
        <w:rPr>
          <w:sz w:val="24"/>
          <w:szCs w:val="24"/>
        </w:rPr>
        <w:t>», ООО «Ай Си», ООО «</w:t>
      </w:r>
      <w:proofErr w:type="spellStart"/>
      <w:r w:rsidRPr="00A268AF">
        <w:rPr>
          <w:sz w:val="24"/>
          <w:szCs w:val="24"/>
        </w:rPr>
        <w:t>Дом</w:t>
      </w:r>
      <w:proofErr w:type="gramStart"/>
      <w:r w:rsidRPr="00A268AF">
        <w:rPr>
          <w:sz w:val="24"/>
          <w:szCs w:val="24"/>
        </w:rPr>
        <w:t>.С</w:t>
      </w:r>
      <w:proofErr w:type="gramEnd"/>
      <w:r w:rsidRPr="00A268AF">
        <w:rPr>
          <w:sz w:val="24"/>
          <w:szCs w:val="24"/>
        </w:rPr>
        <w:t>Б</w:t>
      </w:r>
      <w:proofErr w:type="spellEnd"/>
      <w:r w:rsidRPr="00A268AF">
        <w:rPr>
          <w:sz w:val="24"/>
          <w:szCs w:val="24"/>
        </w:rPr>
        <w:t>», ООО «Сити-Сервис», ООО «Сервис-Град», ООО «</w:t>
      </w:r>
      <w:proofErr w:type="spellStart"/>
      <w:r w:rsidRPr="00A268AF">
        <w:rPr>
          <w:sz w:val="24"/>
          <w:szCs w:val="24"/>
        </w:rPr>
        <w:t>Управдом-СБ</w:t>
      </w:r>
      <w:proofErr w:type="spellEnd"/>
      <w:r w:rsidRPr="00A268AF">
        <w:rPr>
          <w:sz w:val="24"/>
          <w:szCs w:val="24"/>
        </w:rPr>
        <w:t>», ООО «</w:t>
      </w:r>
      <w:proofErr w:type="spellStart"/>
      <w:r w:rsidRPr="00A268AF">
        <w:rPr>
          <w:sz w:val="24"/>
          <w:szCs w:val="24"/>
        </w:rPr>
        <w:t>Домус</w:t>
      </w:r>
      <w:proofErr w:type="spellEnd"/>
      <w:r w:rsidRPr="00A268AF">
        <w:rPr>
          <w:sz w:val="24"/>
          <w:szCs w:val="24"/>
        </w:rPr>
        <w:t>», ООО «УК «Единение», ООО «РИТЦ».</w:t>
      </w:r>
    </w:p>
    <w:p w:rsidR="005670AC" w:rsidRPr="00A268AF" w:rsidRDefault="005670AC" w:rsidP="00567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AF">
        <w:rPr>
          <w:rFonts w:ascii="Times New Roman" w:hAnsi="Times New Roman" w:cs="Times New Roman"/>
          <w:sz w:val="24"/>
          <w:szCs w:val="24"/>
        </w:rPr>
        <w:t>В целях модернизации и реконструкции муниципального имущества, составляющего объекты водоснабжения и водоотведения, 28 июля 2020 года заключено Концессионное соглашение в отношении отдельных объектов водоснабжения, водоотведения, предназначенных для водоснабжения и водоотведения на 30 лет, на общую сумму 1 505 356,050 тыс. руб.</w:t>
      </w:r>
    </w:p>
    <w:p w:rsidR="005670AC" w:rsidRPr="00A268AF" w:rsidRDefault="005670AC" w:rsidP="005670AC">
      <w:pPr>
        <w:ind w:firstLine="709"/>
      </w:pPr>
      <w:r w:rsidRPr="00A268AF">
        <w:t>В рамках краткосрочного плана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некоммерческой организацией «Фонд капитального ремонта многоквартирных домов Ленинградской области» выполнен капитальный ремонт общего имущества в сумме 222 149,6 тыс. рублей.</w:t>
      </w:r>
    </w:p>
    <w:p w:rsidR="005670AC" w:rsidRPr="00A268AF" w:rsidRDefault="005670AC" w:rsidP="005670AC">
      <w:pPr>
        <w:ind w:firstLine="709"/>
      </w:pPr>
      <w:proofErr w:type="gramStart"/>
      <w:r w:rsidRPr="00A268AF">
        <w:t>Постановлением Правительства Ленинградской области от 7 октября 2019 года № 451 утвержден перечень многоквартирных домов, расположенных на территории Ленинградской области, общее имущество которых (межквартирные лестничные площадки, лестницы, коридоры, предназначенные для обслуживания более одного помещения в многоквартирном доме) подлежит капитальному ремонту с применением мер государственной поддержки в 2019 году, на общую сумму 64 489 965,65 рублей.</w:t>
      </w:r>
      <w:proofErr w:type="gramEnd"/>
      <w:r w:rsidRPr="00A268AF">
        <w:t xml:space="preserve"> В рамках данного постановления в 2020 году выполнен ремонт 116 подъездов в 56 многоквартирных домах Сосновоборского городского округа, в которых ранее, в 2018 году, подрядная организация ООО "НПО "</w:t>
      </w:r>
      <w:proofErr w:type="spellStart"/>
      <w:r w:rsidRPr="00A268AF">
        <w:t>Спутник-А</w:t>
      </w:r>
      <w:proofErr w:type="spellEnd"/>
      <w:r w:rsidRPr="00A268AF">
        <w:t>" длительное время проводила капитальный ремонт лифтового оборудования.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домами: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Фактическое значение показателя в 2020 году составило 100</w:t>
      </w:r>
      <w:r w:rsidRPr="00A268AF">
        <w:rPr>
          <w:rFonts w:eastAsia="Times New Roman"/>
          <w:b/>
          <w:bCs/>
          <w:lang w:eastAsia="ru-RU"/>
        </w:rPr>
        <w:t xml:space="preserve"> %</w:t>
      </w:r>
      <w:r w:rsidRPr="00A268AF">
        <w:rPr>
          <w:rFonts w:eastAsia="Times New Roman"/>
          <w:bCs/>
          <w:lang w:eastAsia="ru-RU"/>
        </w:rPr>
        <w:t>, что соответствует уровню 2019 года.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Значение показателя по прогнозу на 2021-2023 годы составит 100 %.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28. Доля организаций коммунального комплекса, осуществляющих производство товаров, оказание услуг по </w:t>
      </w:r>
      <w:proofErr w:type="spellStart"/>
      <w:r w:rsidRPr="00A268AF">
        <w:rPr>
          <w:rFonts w:eastAsia="Times New Roman"/>
          <w:b/>
          <w:bCs/>
          <w:lang w:eastAsia="ru-RU"/>
        </w:rPr>
        <w:t>водо</w:t>
      </w:r>
      <w:proofErr w:type="spellEnd"/>
      <w:r w:rsidRPr="00A268AF">
        <w:rPr>
          <w:rFonts w:eastAsia="Times New Roman"/>
          <w:b/>
          <w:bCs/>
          <w:lang w:eastAsia="ru-RU"/>
        </w:rPr>
        <w:t>-, тепл</w:t>
      </w:r>
      <w:proofErr w:type="gramStart"/>
      <w:r w:rsidRPr="00A268AF">
        <w:rPr>
          <w:rFonts w:eastAsia="Times New Roman"/>
          <w:b/>
          <w:bCs/>
          <w:lang w:eastAsia="ru-RU"/>
        </w:rPr>
        <w:t>о-</w:t>
      </w:r>
      <w:proofErr w:type="gramEnd"/>
      <w:r w:rsidRPr="00A268AF">
        <w:rPr>
          <w:rFonts w:eastAsia="Times New Roman"/>
          <w:b/>
          <w:bCs/>
          <w:lang w:eastAsia="ru-RU"/>
        </w:rPr>
        <w:t xml:space="preserve">, </w:t>
      </w:r>
      <w:proofErr w:type="spellStart"/>
      <w:r w:rsidRPr="00A268AF">
        <w:rPr>
          <w:rFonts w:eastAsia="Times New Roman"/>
          <w:b/>
          <w:bCs/>
          <w:lang w:eastAsia="ru-RU"/>
        </w:rPr>
        <w:t>газо</w:t>
      </w:r>
      <w:proofErr w:type="spellEnd"/>
      <w:r w:rsidRPr="00A268AF">
        <w:rPr>
          <w:rFonts w:eastAsia="Times New Roman"/>
          <w:b/>
          <w:bCs/>
          <w:lang w:eastAsia="ru-RU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A268AF">
        <w:rPr>
          <w:rFonts w:eastAsia="Times New Roman"/>
          <w:b/>
          <w:bCs/>
          <w:lang w:eastAsia="ru-RU"/>
        </w:rPr>
        <w:t>осуществляющих</w:t>
      </w:r>
      <w:proofErr w:type="gramEnd"/>
      <w:r w:rsidRPr="00A268AF">
        <w:rPr>
          <w:rFonts w:eastAsia="Times New Roman"/>
          <w:b/>
          <w:bCs/>
          <w:lang w:eastAsia="ru-RU"/>
        </w:rPr>
        <w:t xml:space="preserve"> свою деятельность на территории городского округа.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Фактическое значение показателя в 2020 году составило 83,3 %, что соответствует уровню 2019 года.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Значение показателя по прогнозу на 2021-2023 годы планируется на уровне 86,3 %.</w:t>
      </w: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lastRenderedPageBreak/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На территории Сосновоборского городского округа зарегистрировано 424 </w:t>
      </w:r>
      <w:proofErr w:type="gramStart"/>
      <w:r w:rsidRPr="00A268AF">
        <w:rPr>
          <w:rFonts w:eastAsia="Times New Roman"/>
          <w:lang w:eastAsia="ru-RU"/>
        </w:rPr>
        <w:t>многоквартирных</w:t>
      </w:r>
      <w:proofErr w:type="gramEnd"/>
      <w:r w:rsidRPr="00A268AF">
        <w:rPr>
          <w:rFonts w:eastAsia="Times New Roman"/>
          <w:lang w:eastAsia="ru-RU"/>
        </w:rPr>
        <w:t xml:space="preserve"> жилых дома. На кадастровый учет под ними поставлен 171 земельный участок. Доля многоквартирных домов, расположенных на земельных участках, в отношении которых осуществлен государственный кадастровый учет, в 2020 году составила 40 %, что соответствует уровню 2019 года.</w:t>
      </w:r>
    </w:p>
    <w:p w:rsidR="005670AC" w:rsidRPr="00A268AF" w:rsidRDefault="005670AC" w:rsidP="005670AC">
      <w:pPr>
        <w:keepNext/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</w:pPr>
      <w:r w:rsidRPr="00A268AF">
        <w:t xml:space="preserve">В 2021 году в эксплуатацию планируется ввести 2 многоквартирных жилых дома,  доведя число многоквартирных  домов  до 173. Также в 2021 году планируется проведение комплексных кадастровых работ в 3 и 8 </w:t>
      </w:r>
      <w:proofErr w:type="spellStart"/>
      <w:r w:rsidRPr="00A268AF">
        <w:t>мкр</w:t>
      </w:r>
      <w:proofErr w:type="spellEnd"/>
      <w:r w:rsidRPr="00A268AF">
        <w:t xml:space="preserve">. города, на кадастровый учет дополнительно встанет 48 земельных участков под многоквартирными жилыми домами. В 2022 году планируется проведение комплексных кадастровых работ в 4, 4а, 4б </w:t>
      </w:r>
      <w:proofErr w:type="spellStart"/>
      <w:r w:rsidRPr="00A268AF">
        <w:t>мкр</w:t>
      </w:r>
      <w:proofErr w:type="spellEnd"/>
      <w:r w:rsidRPr="00A268AF">
        <w:t xml:space="preserve">. города, на кадастровый учет дополнительно встанет 32 земельных участка под многоквартирными жилыми домами. В 2023 году планируется проведение комплексных кадастровых работ в 7 и 9 </w:t>
      </w:r>
      <w:proofErr w:type="spellStart"/>
      <w:r w:rsidRPr="00A268AF">
        <w:t>мкр</w:t>
      </w:r>
      <w:proofErr w:type="spellEnd"/>
      <w:r w:rsidRPr="00A268AF">
        <w:t>. города, на кадастровый учет дополнительно встанет 67 земельных участков под многоквартирными жилыми домами.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результате значение показателя составит: в 2021 году – 47 %, в 2022 году – 59 %, в 2023 году – 75 %.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b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30. </w:t>
      </w:r>
      <w:proofErr w:type="gramStart"/>
      <w:r w:rsidRPr="00A268AF">
        <w:rPr>
          <w:b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5670AC" w:rsidRPr="00A268AF" w:rsidRDefault="005670AC" w:rsidP="005670AC">
      <w:pPr>
        <w:ind w:firstLine="709"/>
        <w:rPr>
          <w:b/>
        </w:rPr>
      </w:pPr>
      <w:r w:rsidRPr="00A268AF">
        <w:t>Фактическое значение показателя за 2020 год составило 5,75 % от численности населения, состоящего на учете, что значительно выше уровня 2019 года (2,8 %).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</w:pPr>
      <w:r w:rsidRPr="00A268AF">
        <w:t>На 2021-2023 годы планируется значение показателя, равное 3,0 %.</w:t>
      </w:r>
    </w:p>
    <w:p w:rsidR="005670AC" w:rsidRPr="00A268AF" w:rsidRDefault="005670AC" w:rsidP="005670AC">
      <w:pPr>
        <w:ind w:firstLine="708"/>
      </w:pP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VIII</w:t>
      </w:r>
      <w:r w:rsidRPr="00A268AF">
        <w:rPr>
          <w:rFonts w:eastAsia="Times New Roman"/>
          <w:b/>
          <w:sz w:val="28"/>
          <w:szCs w:val="28"/>
          <w:lang w:eastAsia="ru-RU"/>
        </w:rPr>
        <w:t>. Организация муниципального управления</w:t>
      </w:r>
    </w:p>
    <w:p w:rsidR="005670AC" w:rsidRPr="00A268AF" w:rsidRDefault="005670AC" w:rsidP="005670AC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bidi="en-US"/>
        </w:rPr>
        <w:t>Характеристика</w:t>
      </w:r>
      <w:r w:rsidRPr="00A268AF">
        <w:rPr>
          <w:rFonts w:eastAsia="Times New Roman"/>
          <w:b/>
          <w:caps/>
          <w:sz w:val="28"/>
          <w:szCs w:val="28"/>
          <w:lang w:bidi="en-US"/>
        </w:rPr>
        <w:t xml:space="preserve"> </w:t>
      </w:r>
      <w:r w:rsidRPr="00A268AF">
        <w:rPr>
          <w:rFonts w:eastAsia="Times New Roman"/>
          <w:b/>
          <w:sz w:val="28"/>
          <w:szCs w:val="28"/>
          <w:lang w:bidi="en-US"/>
        </w:rPr>
        <w:t>отрасли</w:t>
      </w:r>
      <w:bookmarkStart w:id="2" w:name="_Toc349139865"/>
    </w:p>
    <w:p w:rsidR="005670AC" w:rsidRPr="00A268AF" w:rsidRDefault="005670AC" w:rsidP="005670AC">
      <w:pPr>
        <w:jc w:val="center"/>
        <w:rPr>
          <w:rFonts w:eastAsia="Times New Roman"/>
          <w:b/>
          <w:caps/>
          <w:lang w:bidi="en-US"/>
        </w:rPr>
      </w:pPr>
    </w:p>
    <w:p w:rsidR="005670AC" w:rsidRPr="00A268AF" w:rsidRDefault="005670AC" w:rsidP="005670AC">
      <w:pPr>
        <w:ind w:firstLine="709"/>
      </w:pPr>
      <w:bookmarkStart w:id="3" w:name="_Toc284574128"/>
      <w:bookmarkStart w:id="4" w:name="_Toc349139856"/>
      <w:bookmarkEnd w:id="2"/>
      <w:proofErr w:type="gramStart"/>
      <w:r w:rsidRPr="00A268AF">
        <w:rPr>
          <w:b/>
          <w:bCs/>
        </w:rPr>
        <w:t>Поступления в бюджетную систему</w:t>
      </w:r>
      <w:r w:rsidRPr="00A268AF">
        <w:t xml:space="preserve"> в течение 2020 года налоговых и других обязательных платежей по данным Инспекции ФНС России по г. Сосновый Бор (с учетом крупных предприятий) составили 10 046 515 тыс. руб., в том числе в федеральный бюджет поступило 2 348 942 тыс. руб. или 23,4 % от общей суммы, в областной бюджет – 6 391 541 тыс. руб. (63,6 %), в местный</w:t>
      </w:r>
      <w:proofErr w:type="gramEnd"/>
      <w:r w:rsidRPr="00A268AF">
        <w:t xml:space="preserve"> бюджет –  1 306 032 тыс. руб. (13,0 %). </w:t>
      </w:r>
    </w:p>
    <w:p w:rsidR="005670AC" w:rsidRPr="00A268AF" w:rsidRDefault="005670AC" w:rsidP="005670AC">
      <w:pPr>
        <w:ind w:firstLine="709"/>
      </w:pPr>
      <w:r w:rsidRPr="00A268AF">
        <w:t>По сравнению с итогами 2019 года отмечается увеличение поступлений налоговых платежей в бюджетную систему на 236 843  тыс. руб. или на 2,4 %.</w:t>
      </w:r>
    </w:p>
    <w:p w:rsidR="005670AC" w:rsidRPr="00A268AF" w:rsidRDefault="005670AC" w:rsidP="005670AC">
      <w:pPr>
        <w:pStyle w:val="211"/>
        <w:numPr>
          <w:ilvl w:val="12"/>
          <w:numId w:val="0"/>
        </w:numPr>
        <w:ind w:firstLine="709"/>
        <w:rPr>
          <w:szCs w:val="24"/>
        </w:rPr>
      </w:pPr>
      <w:r w:rsidRPr="00A268AF">
        <w:rPr>
          <w:szCs w:val="24"/>
        </w:rPr>
        <w:t>По налогу на доходы физических лиц сумма поступлений в местный бюджет составила 983 452,3 тыс. руб., что на 78 193,6 тыс. руб. или на 8,6 % больше поступлений 2019 года.</w:t>
      </w:r>
    </w:p>
    <w:p w:rsidR="005670AC" w:rsidRPr="00A268AF" w:rsidRDefault="005670AC" w:rsidP="005670AC">
      <w:pPr>
        <w:pStyle w:val="211"/>
        <w:numPr>
          <w:ilvl w:val="12"/>
          <w:numId w:val="0"/>
        </w:numPr>
        <w:ind w:firstLine="709"/>
        <w:rPr>
          <w:szCs w:val="24"/>
        </w:rPr>
      </w:pPr>
      <w:r w:rsidRPr="00A268AF">
        <w:rPr>
          <w:szCs w:val="24"/>
        </w:rPr>
        <w:t xml:space="preserve">По земельному налогу сумма поступлений составила </w:t>
      </w:r>
      <w:r w:rsidRPr="00A268AF">
        <w:rPr>
          <w:bCs/>
          <w:szCs w:val="24"/>
        </w:rPr>
        <w:t>111 634,8</w:t>
      </w:r>
      <w:r w:rsidRPr="00A268AF">
        <w:rPr>
          <w:szCs w:val="24"/>
        </w:rPr>
        <w:t xml:space="preserve"> тыс. руб., что на 420,4 тыс.  руб., или на 0,4 % больше поступлений прошлого года.</w:t>
      </w:r>
    </w:p>
    <w:p w:rsidR="005670AC" w:rsidRPr="00A268AF" w:rsidRDefault="005670AC" w:rsidP="005670AC">
      <w:pPr>
        <w:ind w:firstLine="709"/>
      </w:pPr>
      <w:r w:rsidRPr="00A268AF">
        <w:t>Сумма недоимки по налогам в местный бюджет по состоянию на 01.01.2021 составила 30 923,8 тыс. руб.</w:t>
      </w:r>
      <w:r w:rsidRPr="00A268AF">
        <w:tab/>
      </w:r>
    </w:p>
    <w:p w:rsidR="005670AC" w:rsidRPr="00A268AF" w:rsidRDefault="005670AC" w:rsidP="005670AC">
      <w:pPr>
        <w:pStyle w:val="211"/>
        <w:numPr>
          <w:ilvl w:val="12"/>
          <w:numId w:val="0"/>
        </w:numPr>
        <w:ind w:firstLine="709"/>
        <w:rPr>
          <w:szCs w:val="24"/>
        </w:rPr>
      </w:pPr>
      <w:r w:rsidRPr="00A268AF">
        <w:rPr>
          <w:b/>
          <w:szCs w:val="24"/>
        </w:rPr>
        <w:t>Исполнение бюджета Сосновоборского городского округа по доходам</w:t>
      </w:r>
      <w:r w:rsidRPr="00A268AF">
        <w:rPr>
          <w:szCs w:val="24"/>
        </w:rPr>
        <w:t xml:space="preserve"> за 2020 год составило 2 987 758,1 </w:t>
      </w:r>
      <w:r w:rsidRPr="00A268AF">
        <w:rPr>
          <w:bCs/>
          <w:szCs w:val="24"/>
        </w:rPr>
        <w:t>тыс. руб.</w:t>
      </w:r>
      <w:r w:rsidRPr="00A268AF">
        <w:rPr>
          <w:szCs w:val="24"/>
        </w:rPr>
        <w:t xml:space="preserve"> или 98,0 % к плану на год, что на 13,5 % больше, чем исполнение бюджета Сосновоборского городского округа по доходам за 2019 год.    </w:t>
      </w:r>
    </w:p>
    <w:p w:rsidR="005670AC" w:rsidRPr="00A268AF" w:rsidRDefault="005670AC" w:rsidP="005670AC">
      <w:pPr>
        <w:pStyle w:val="21"/>
        <w:spacing w:after="0" w:line="240" w:lineRule="auto"/>
        <w:ind w:firstLine="709"/>
        <w:rPr>
          <w:sz w:val="24"/>
          <w:szCs w:val="24"/>
        </w:rPr>
      </w:pPr>
      <w:r w:rsidRPr="00A268AF">
        <w:rPr>
          <w:sz w:val="24"/>
          <w:szCs w:val="24"/>
        </w:rPr>
        <w:t>Основными доходными источниками местного бюджета являются:</w:t>
      </w:r>
    </w:p>
    <w:p w:rsidR="005670AC" w:rsidRPr="00A268AF" w:rsidRDefault="005670AC" w:rsidP="005670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 xml:space="preserve">- налог на доходы физических лиц – </w:t>
      </w:r>
      <w:r w:rsidRPr="00A268AF">
        <w:rPr>
          <w:bCs/>
          <w:sz w:val="24"/>
          <w:szCs w:val="24"/>
        </w:rPr>
        <w:t xml:space="preserve">983 452,3 </w:t>
      </w:r>
      <w:r w:rsidRPr="00A268AF">
        <w:rPr>
          <w:sz w:val="24"/>
          <w:szCs w:val="24"/>
        </w:rPr>
        <w:t xml:space="preserve">тыс. руб., его удельный вес составил 55,4 %  от суммы собственных доходов, </w:t>
      </w:r>
    </w:p>
    <w:p w:rsidR="005670AC" w:rsidRPr="00A268AF" w:rsidRDefault="005670AC" w:rsidP="005670AC">
      <w:pPr>
        <w:ind w:firstLine="709"/>
      </w:pPr>
      <w:r w:rsidRPr="00A268AF">
        <w:t>- налоги на совокупный доход – 185 387,9 тыс. руб., их удельный вес составил 10,4 % от суммы собственных доходов,</w:t>
      </w:r>
    </w:p>
    <w:p w:rsidR="005670AC" w:rsidRPr="00A268AF" w:rsidRDefault="005670AC" w:rsidP="005670AC">
      <w:pPr>
        <w:ind w:firstLine="709"/>
      </w:pPr>
      <w:proofErr w:type="gramStart"/>
      <w:r w:rsidRPr="00A268AF">
        <w:lastRenderedPageBreak/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122 866,0 тыс. руб., их удельный вес составил 6,9 % от суммы собственных доходов,</w:t>
      </w:r>
      <w:proofErr w:type="gramEnd"/>
    </w:p>
    <w:p w:rsidR="005670AC" w:rsidRPr="00A268AF" w:rsidRDefault="005670AC" w:rsidP="005670AC">
      <w:pPr>
        <w:ind w:firstLine="709"/>
      </w:pPr>
      <w:r w:rsidRPr="00A268AF">
        <w:t xml:space="preserve">- земельный налог – 111 634,8 тыс. руб., его удельный вес составил 6,3 % от суммы собственных доходов, </w:t>
      </w:r>
    </w:p>
    <w:p w:rsidR="005670AC" w:rsidRPr="00A268AF" w:rsidRDefault="005670AC" w:rsidP="005670AC">
      <w:pPr>
        <w:ind w:firstLine="709"/>
      </w:pPr>
      <w:r w:rsidRPr="00A268AF">
        <w:t>- доходы от реализации иного имущества, находящегося в собственности городских округов, в части реализации основных средств по указанному имуществу – 111 612,9 тыс. руб., их удельный вес составил 6,3 % от суммы собственных доходов.</w:t>
      </w:r>
    </w:p>
    <w:p w:rsidR="005670AC" w:rsidRPr="00A268AF" w:rsidRDefault="005670AC" w:rsidP="005670AC">
      <w:pPr>
        <w:ind w:firstLine="709"/>
      </w:pPr>
      <w:r w:rsidRPr="00A268AF">
        <w:rPr>
          <w:b/>
          <w:bCs/>
        </w:rPr>
        <w:t>Исполнение по расходам</w:t>
      </w:r>
      <w:r w:rsidRPr="00A268AF">
        <w:t xml:space="preserve"> за 2020 год составило </w:t>
      </w:r>
      <w:r w:rsidRPr="00A268AF">
        <w:rPr>
          <w:bCs/>
        </w:rPr>
        <w:t>2 970 741,7</w:t>
      </w:r>
      <w:r w:rsidRPr="00A268AF">
        <w:t xml:space="preserve"> </w:t>
      </w:r>
      <w:r w:rsidRPr="00A268AF">
        <w:rPr>
          <w:bCs/>
        </w:rPr>
        <w:t>тыс. руб., или 94,2</w:t>
      </w:r>
      <w:r w:rsidRPr="00A268AF">
        <w:t xml:space="preserve"> % к плану года, что на 12,5 % больше, чем за 2019 год. </w:t>
      </w:r>
    </w:p>
    <w:p w:rsidR="005670AC" w:rsidRPr="00A268AF" w:rsidRDefault="005670AC" w:rsidP="005670AC">
      <w:pPr>
        <w:ind w:firstLine="709"/>
      </w:pPr>
      <w:r w:rsidRPr="00A268AF">
        <w:t>Основными причинами неисполнения плановых назначений по подразделам являются: заключение муниципальных контрактов и договоров на суммы меньше запланированных (экономия); поступление межбюджетных трансфертов по фактически сложившимся расходам; поступление межбюджетных трансфертов в конце года; оплата расходов местного бюджета (собственные средства) по фактически предъявленным к оплате документам, переходящие муниципальные контракты.</w:t>
      </w:r>
    </w:p>
    <w:p w:rsidR="005670AC" w:rsidRPr="00A268AF" w:rsidRDefault="005670AC" w:rsidP="005670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A268AF">
        <w:rPr>
          <w:b/>
          <w:bCs/>
          <w:sz w:val="24"/>
          <w:szCs w:val="24"/>
        </w:rPr>
        <w:t>Бюджетная обеспеченность</w:t>
      </w:r>
      <w:r w:rsidRPr="00A268AF">
        <w:rPr>
          <w:sz w:val="24"/>
          <w:szCs w:val="24"/>
        </w:rPr>
        <w:t xml:space="preserve"> на 1 жителя по доходам за 2020 год составляет 44 545,6 руб., или 114,6 % к уровню 2019 года, по расходам – 44076,29 руб., или 113,5 % к уровню 2019 года.</w:t>
      </w:r>
    </w:p>
    <w:p w:rsidR="005670AC" w:rsidRPr="00A268AF" w:rsidRDefault="005670AC" w:rsidP="005670AC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A268AF">
        <w:rPr>
          <w:sz w:val="24"/>
          <w:szCs w:val="24"/>
        </w:rPr>
        <w:t xml:space="preserve">В отчетном периоде реализовывались мероприятия 10 </w:t>
      </w:r>
      <w:r w:rsidRPr="00A268AF">
        <w:rPr>
          <w:bCs/>
          <w:sz w:val="24"/>
          <w:szCs w:val="24"/>
        </w:rPr>
        <w:t>муниципальных программ Сосновоборского городского округа,</w:t>
      </w:r>
      <w:r w:rsidRPr="00A268AF">
        <w:rPr>
          <w:b/>
          <w:bCs/>
          <w:sz w:val="24"/>
          <w:szCs w:val="24"/>
        </w:rPr>
        <w:t xml:space="preserve"> </w:t>
      </w:r>
      <w:r w:rsidRPr="00A268AF">
        <w:rPr>
          <w:bCs/>
          <w:sz w:val="24"/>
          <w:szCs w:val="24"/>
        </w:rPr>
        <w:t>по всем программам осуществлялось финансирование,</w:t>
      </w:r>
      <w:r w:rsidRPr="00A268AF">
        <w:rPr>
          <w:sz w:val="24"/>
          <w:szCs w:val="24"/>
        </w:rPr>
        <w:t xml:space="preserve"> исполнение за 2020 год составило 2 593 274,2 тыс. руб., или 93,8 % от годовых плановых назначений (2 765 577,9 тыс. руб.).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t>Удельный вес расходов по муниципальным программам в расходах бюджета за 2020 год</w:t>
      </w:r>
      <w:r w:rsidRPr="00A268AF">
        <w:rPr>
          <w:bCs/>
        </w:rPr>
        <w:t xml:space="preserve">, предусмотренных к финансированию за счет средств местного, областного и федерального бюджетов, составил  87,3 % (в 2019 году – 87,2 %). </w:t>
      </w:r>
    </w:p>
    <w:bookmarkEnd w:id="3"/>
    <w:bookmarkEnd w:id="4"/>
    <w:p w:rsidR="005670AC" w:rsidRPr="00A268AF" w:rsidRDefault="005670AC" w:rsidP="005670AC">
      <w:pPr>
        <w:ind w:firstLine="709"/>
      </w:pPr>
    </w:p>
    <w:p w:rsidR="005670AC" w:rsidRPr="00A268AF" w:rsidRDefault="005670AC" w:rsidP="005670A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31.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A268AF">
        <w:rPr>
          <w:rFonts w:eastAsia="Times New Roman"/>
          <w:bCs/>
          <w:lang w:eastAsia="ru-RU"/>
        </w:rPr>
        <w:t>.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rPr>
          <w:bCs/>
        </w:rPr>
        <w:t>В 2020 году значение показателя составило 89,19 %, что меньше 2019 года на 1,9 %.</w:t>
      </w:r>
    </w:p>
    <w:p w:rsidR="005670AC" w:rsidRPr="00A268AF" w:rsidRDefault="005670AC" w:rsidP="005670AC">
      <w:pPr>
        <w:ind w:firstLine="709"/>
        <w:rPr>
          <w:bCs/>
        </w:rPr>
      </w:pPr>
      <w:proofErr w:type="gramStart"/>
      <w:r w:rsidRPr="00A268AF">
        <w:rPr>
          <w:bCs/>
        </w:rPr>
        <w:t>В 2021 году значение показателя планируется со снижением по отношению к 2020 году на 16,4 %, в 2022 году снижение на 2,3 % к 2020 году, в 2023 году рост на 5,9 % к 2020 году.</w:t>
      </w:r>
      <w:proofErr w:type="gramEnd"/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Организации муниципальной формы собственности, находящиеся в стадии банкротства, в отчетном периоде отсутствовали. Значение показателя равно 0.</w:t>
      </w:r>
    </w:p>
    <w:p w:rsidR="005670AC" w:rsidRPr="00A268AF" w:rsidRDefault="005670AC" w:rsidP="005670AC">
      <w:pPr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ожидается нулевое значение данного показателя.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keepNext/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33.</w:t>
      </w:r>
      <w:r w:rsidRPr="00A268AF">
        <w:rPr>
          <w:lang w:eastAsia="ru-RU"/>
        </w:rPr>
        <w:t xml:space="preserve"> </w:t>
      </w:r>
      <w:r w:rsidRPr="00A268AF">
        <w:rPr>
          <w:b/>
          <w:lang w:eastAsia="ru-RU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Pr="00A268AF">
        <w:rPr>
          <w:lang w:eastAsia="ru-RU"/>
        </w:rPr>
        <w:t>.</w:t>
      </w:r>
    </w:p>
    <w:p w:rsidR="005670AC" w:rsidRPr="00A268AF" w:rsidRDefault="005670AC" w:rsidP="005670AC">
      <w:pPr>
        <w:ind w:firstLine="698"/>
      </w:pPr>
      <w:r w:rsidRPr="00A268AF">
        <w:t>В 2020 году объем не завершенного в установленные сроки строительства, осуществляемого за счет средств бюджета городского округа, составил 23782,49 тыс. руб., что ниже уровня 2019 года (41394,36 тыс. руб.).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proofErr w:type="gramStart"/>
      <w:r w:rsidRPr="00A268AF">
        <w:rPr>
          <w:rFonts w:eastAsia="Times New Roman"/>
          <w:lang w:eastAsia="ru-RU"/>
        </w:rPr>
        <w:lastRenderedPageBreak/>
        <w:t>П</w:t>
      </w:r>
      <w:r w:rsidRPr="00A268AF">
        <w:t>рогнозируемый объем незавершенного строительства: 2021 год – 41391,42 тыс. руб., 2022 год – 46062,0 тыс. руб., 2023 год – 44000 тыс. руб.</w:t>
      </w:r>
      <w:proofErr w:type="gramEnd"/>
    </w:p>
    <w:p w:rsidR="005670AC" w:rsidRPr="00A268AF" w:rsidRDefault="005670AC" w:rsidP="005670AC">
      <w:pPr>
        <w:ind w:firstLine="698"/>
      </w:pP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34.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Pr="00A268AF">
        <w:rPr>
          <w:rFonts w:eastAsia="Times New Roman"/>
          <w:bCs/>
          <w:lang w:eastAsia="ru-RU"/>
        </w:rPr>
        <w:t>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Значение показателя в 2020 году, как и в 2019 году, составило 0 %.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2021-2023 годах прогнозируется нулевое значение показателя.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35.</w:t>
      </w:r>
      <w:r w:rsidRPr="00A268AF">
        <w:rPr>
          <w:rFonts w:eastAsia="Times New Roman"/>
          <w:bCs/>
          <w:lang w:eastAsia="ru-RU"/>
        </w:rPr>
        <w:t xml:space="preserve"> </w:t>
      </w:r>
      <w:r w:rsidRPr="00A268AF">
        <w:rPr>
          <w:rFonts w:eastAsia="Times New Roman"/>
          <w:b/>
          <w:bCs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A268AF">
        <w:rPr>
          <w:rFonts w:eastAsia="Times New Roman"/>
          <w:bCs/>
          <w:lang w:eastAsia="ru-RU"/>
        </w:rPr>
        <w:t>.</w:t>
      </w:r>
    </w:p>
    <w:p w:rsidR="005670AC" w:rsidRPr="00A268AF" w:rsidRDefault="005670AC" w:rsidP="005670AC">
      <w:pPr>
        <w:ind w:firstLine="709"/>
        <w:rPr>
          <w:bCs/>
        </w:rPr>
      </w:pPr>
      <w:proofErr w:type="gramStart"/>
      <w:r w:rsidRPr="00A268AF">
        <w:rPr>
          <w:bCs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определяются как отношение расходов бюджета муниципального образования на содержание работников органов местного самоуправления по КВР 121,129 (без учета федеральных средств) по форме № 0503387 «Справочная таблица к отчету об исполнении консолидированного бюджета» по состоянию на 01.01.2021 (факт) для расчета значения показателя за 2020 год</w:t>
      </w:r>
      <w:proofErr w:type="gramEnd"/>
      <w:r w:rsidRPr="00A268AF">
        <w:rPr>
          <w:bCs/>
        </w:rPr>
        <w:t xml:space="preserve"> и по состоянию на 01.04.2021 (план) для расчета значения показателя на 2021, 2022, 2023 годы к среднегодовой численности постоянного населения муниципального образования. В 2020 году данный показатель составил 2433,31 рубля, по сравнению с 2019 годом увеличение на 11,2 %.</w:t>
      </w:r>
    </w:p>
    <w:p w:rsidR="005670AC" w:rsidRPr="00A268AF" w:rsidRDefault="005670AC" w:rsidP="005670AC">
      <w:pPr>
        <w:ind w:firstLine="709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bCs/>
        </w:rPr>
      </w:pPr>
      <w:r w:rsidRPr="00A268AF">
        <w:rPr>
          <w:rFonts w:eastAsia="Times New Roman"/>
          <w:bCs/>
          <w:lang w:eastAsia="ru-RU"/>
        </w:rPr>
        <w:t xml:space="preserve">Значение показателя </w:t>
      </w:r>
      <w:r w:rsidRPr="00A268AF">
        <w:rPr>
          <w:bCs/>
        </w:rPr>
        <w:t xml:space="preserve">в 2021-2023 годах </w:t>
      </w:r>
      <w:r w:rsidRPr="00A268AF">
        <w:rPr>
          <w:rFonts w:eastAsia="Times New Roman"/>
          <w:bCs/>
          <w:lang w:eastAsia="ru-RU"/>
        </w:rPr>
        <w:t>планируется</w:t>
      </w:r>
      <w:r w:rsidRPr="00A268AF">
        <w:rPr>
          <w:bCs/>
        </w:rPr>
        <w:t xml:space="preserve"> с уменьшением на 0,4 % в 2021 году и увеличением на 7,2 % в 2023 году по отношению к расходам 2020 года.</w:t>
      </w:r>
    </w:p>
    <w:p w:rsidR="005670AC" w:rsidRPr="00A268AF" w:rsidRDefault="005670AC" w:rsidP="005670AC">
      <w:pPr>
        <w:ind w:firstLine="708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8"/>
        <w:rPr>
          <w:b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36.</w:t>
      </w:r>
      <w:r w:rsidRPr="00A268AF">
        <w:rPr>
          <w:rFonts w:eastAsia="Times New Roman"/>
          <w:lang w:eastAsia="ru-RU"/>
        </w:rPr>
        <w:t xml:space="preserve"> </w:t>
      </w:r>
      <w:r w:rsidRPr="00A268AF">
        <w:rPr>
          <w:rFonts w:eastAsia="Times New Roman"/>
          <w:b/>
          <w:lang w:eastAsia="ru-RU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00A268AF">
        <w:rPr>
          <w:rFonts w:eastAsia="Times New Roman"/>
          <w:lang w:eastAsia="ru-RU"/>
        </w:rPr>
        <w:t>.</w:t>
      </w:r>
    </w:p>
    <w:p w:rsidR="005670AC" w:rsidRPr="00A268AF" w:rsidRDefault="005670AC" w:rsidP="005670AC">
      <w:pPr>
        <w:ind w:firstLine="708"/>
        <w:rPr>
          <w:b/>
          <w:lang w:eastAsia="ru-RU"/>
        </w:rPr>
      </w:pPr>
      <w:r w:rsidRPr="00A268AF">
        <w:rPr>
          <w:rFonts w:eastAsia="Times New Roman"/>
          <w:lang w:eastAsia="ru-RU"/>
        </w:rPr>
        <w:t>Актуализированная версия Генерального плана Сосновоборского городского округа утверждена постановлением Правительства Ленинградской области от 10.06.2019 № 261.</w:t>
      </w:r>
    </w:p>
    <w:p w:rsidR="005670AC" w:rsidRPr="00A268AF" w:rsidRDefault="005670AC" w:rsidP="005670AC">
      <w:pPr>
        <w:ind w:firstLine="708"/>
        <w:rPr>
          <w:b/>
          <w:lang w:eastAsia="ru-RU"/>
        </w:rPr>
      </w:pPr>
    </w:p>
    <w:p w:rsidR="005670AC" w:rsidRPr="00A268AF" w:rsidRDefault="005670AC" w:rsidP="005670AC">
      <w:pPr>
        <w:ind w:firstLine="708"/>
        <w:rPr>
          <w:b/>
          <w:lang w:eastAsia="ru-RU"/>
        </w:rPr>
      </w:pPr>
      <w:r w:rsidRPr="00A268AF">
        <w:rPr>
          <w:b/>
          <w:lang w:eastAsia="ru-RU"/>
        </w:rPr>
        <w:t>Показатель 37. Удовлетворенность населения деятельностью органов местного самоуправления городского округа.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lang w:eastAsia="ru-RU"/>
        </w:rPr>
        <w:t xml:space="preserve">В 2020 году составила 80 %, что выше уровня 2019 года (69 %). </w:t>
      </w:r>
    </w:p>
    <w:p w:rsidR="005670AC" w:rsidRPr="00A268AF" w:rsidRDefault="005670AC" w:rsidP="005670AC">
      <w:pPr>
        <w:ind w:firstLine="708"/>
        <w:rPr>
          <w:lang w:eastAsia="ru-RU"/>
        </w:rPr>
      </w:pPr>
      <w:r w:rsidRPr="00A268AF">
        <w:rPr>
          <w:lang w:eastAsia="ru-RU"/>
        </w:rPr>
        <w:t>В 2021-2023 годах значение показателя планируется не ниже уровня 2020 года.</w:t>
      </w:r>
    </w:p>
    <w:p w:rsidR="005670AC" w:rsidRPr="00A268AF" w:rsidRDefault="005670AC" w:rsidP="005670AC">
      <w:pPr>
        <w:ind w:firstLine="708"/>
        <w:rPr>
          <w:b/>
          <w:lang w:eastAsia="ru-RU"/>
        </w:rPr>
      </w:pPr>
    </w:p>
    <w:p w:rsidR="005670AC" w:rsidRPr="00A268AF" w:rsidRDefault="005670AC" w:rsidP="005670AC">
      <w:pPr>
        <w:ind w:firstLine="708"/>
        <w:rPr>
          <w:rFonts w:eastAsia="Times New Roman"/>
          <w:lang w:eastAsia="ru-RU"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38. </w:t>
      </w:r>
      <w:r w:rsidRPr="00A268AF">
        <w:rPr>
          <w:rFonts w:eastAsia="Times New Roman"/>
          <w:b/>
          <w:lang w:eastAsia="ru-RU"/>
        </w:rPr>
        <w:t>Среднегодовая численность постоянного населения</w:t>
      </w:r>
      <w:r w:rsidRPr="00A268AF">
        <w:rPr>
          <w:rFonts w:eastAsia="Times New Roman"/>
          <w:lang w:eastAsia="ru-RU"/>
        </w:rPr>
        <w:t>: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2019 году – 68,0 тыс. чел., или 99,7 % к предыдущему году;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- в 2020 году – 67,4 тыс. чел., или 99,1 % к предыдущему году.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 xml:space="preserve">Основными источником изменения среднегодовой численности населения округа являются миграционный прирост (убыль) и естественная убыль населения.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  <w:r w:rsidRPr="00A268AF">
        <w:rPr>
          <w:rFonts w:eastAsia="Times New Roman"/>
          <w:lang w:eastAsia="ru-RU"/>
        </w:rPr>
        <w:t>В 2021-2023 годах прогнозируется сохранение среднегодовой численности населения на уровне 67,1 – 67,2 тыс. чел.</w:t>
      </w:r>
    </w:p>
    <w:p w:rsidR="005670AC" w:rsidRPr="00A268AF" w:rsidRDefault="005670AC" w:rsidP="005670AC">
      <w:pPr>
        <w:ind w:firstLine="709"/>
        <w:rPr>
          <w:rFonts w:eastAsia="Times New Roman"/>
          <w:lang w:eastAsia="ru-RU"/>
        </w:rPr>
      </w:pPr>
    </w:p>
    <w:p w:rsidR="005670AC" w:rsidRPr="00A268AF" w:rsidRDefault="005670AC" w:rsidP="005670AC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 w:rsidRPr="00A268AF">
        <w:rPr>
          <w:rFonts w:eastAsia="Times New Roman"/>
          <w:b/>
          <w:sz w:val="28"/>
          <w:szCs w:val="28"/>
          <w:lang w:val="en-US" w:eastAsia="ru-RU"/>
        </w:rPr>
        <w:t>IX</w:t>
      </w:r>
      <w:r w:rsidRPr="00A268AF">
        <w:rPr>
          <w:rFonts w:eastAsia="Times New Roman"/>
          <w:b/>
          <w:sz w:val="28"/>
          <w:szCs w:val="28"/>
          <w:lang w:eastAsia="ru-RU"/>
        </w:rPr>
        <w:t>. Энергосбережение и повышение энергетической эффективности</w:t>
      </w:r>
    </w:p>
    <w:p w:rsidR="005670AC" w:rsidRPr="00A268AF" w:rsidRDefault="005670AC" w:rsidP="005670AC">
      <w:pPr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A268AF">
        <w:rPr>
          <w:rFonts w:eastAsia="Times New Roman"/>
          <w:b/>
          <w:sz w:val="28"/>
          <w:szCs w:val="28"/>
          <w:lang w:bidi="en-US"/>
        </w:rPr>
        <w:t>Характеристика</w:t>
      </w:r>
      <w:r w:rsidRPr="00A268AF">
        <w:rPr>
          <w:rFonts w:eastAsia="Times New Roman"/>
          <w:b/>
          <w:caps/>
          <w:sz w:val="28"/>
          <w:szCs w:val="28"/>
          <w:lang w:bidi="en-US"/>
        </w:rPr>
        <w:t xml:space="preserve"> </w:t>
      </w:r>
      <w:r w:rsidRPr="00A268AF">
        <w:rPr>
          <w:rFonts w:eastAsia="Times New Roman"/>
          <w:b/>
          <w:sz w:val="28"/>
          <w:szCs w:val="28"/>
          <w:lang w:bidi="en-US"/>
        </w:rPr>
        <w:t>отрасли</w:t>
      </w:r>
    </w:p>
    <w:p w:rsidR="005670AC" w:rsidRPr="00A268AF" w:rsidRDefault="005670AC" w:rsidP="005670AC">
      <w:pPr>
        <w:ind w:firstLine="709"/>
        <w:jc w:val="center"/>
        <w:rPr>
          <w:rFonts w:eastAsia="Times New Roman"/>
          <w:b/>
          <w:caps/>
          <w:lang w:bidi="en-US"/>
        </w:rPr>
      </w:pPr>
    </w:p>
    <w:p w:rsidR="005670AC" w:rsidRPr="00A268AF" w:rsidRDefault="005670AC" w:rsidP="005670AC">
      <w:pPr>
        <w:ind w:firstLine="709"/>
      </w:pPr>
      <w:r w:rsidRPr="00A268AF">
        <w:t xml:space="preserve">В рамках муниципальной программы Сосновоборского городского округа «Городское хозяйство на 2014-2024 годы»» осуществляется ежеквартальный мониторинг данных о </w:t>
      </w:r>
      <w:r w:rsidRPr="00A268AF">
        <w:lastRenderedPageBreak/>
        <w:t>повышении энергетической эффективности при производстве, потреблении и передаче энергетических ресурсов на территории Сосновоборского городского округа.</w:t>
      </w:r>
    </w:p>
    <w:p w:rsidR="005670AC" w:rsidRPr="00A268AF" w:rsidRDefault="005670AC" w:rsidP="005670AC">
      <w:pPr>
        <w:ind w:firstLine="709"/>
      </w:pPr>
      <w:r w:rsidRPr="00A268AF">
        <w:t>Проводится работа по созданию условий для перевода экономики и бюджетной сферы муниципального образования на энергосберегающий путь развития.</w:t>
      </w:r>
    </w:p>
    <w:p w:rsidR="005670AC" w:rsidRPr="00A268AF" w:rsidRDefault="005670AC" w:rsidP="005670AC">
      <w:pPr>
        <w:ind w:firstLine="709"/>
      </w:pPr>
      <w:proofErr w:type="gramStart"/>
      <w:r w:rsidRPr="00A268AF">
        <w:t>В соответствии с требованиями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постановлением Правительства РФ от 07.10.2019 № 1289, муниципальным учреждениям Сосновоборского городского округа установлены целевые уровни снижения в сопоставимых условиях суммарного объема потребляемых ими энергетических ресурсов и</w:t>
      </w:r>
      <w:proofErr w:type="gramEnd"/>
      <w:r w:rsidRPr="00A268AF">
        <w:t xml:space="preserve"> объема потребляемой воды, исходя из необходимости совокупного снижения потребления энергетических ресурсов и воды в целом на период с 2021 по 2023 годы.</w:t>
      </w:r>
    </w:p>
    <w:p w:rsidR="005670AC" w:rsidRPr="00A268AF" w:rsidRDefault="005670AC" w:rsidP="005670AC">
      <w:pPr>
        <w:autoSpaceDE w:val="0"/>
        <w:autoSpaceDN w:val="0"/>
        <w:ind w:firstLine="709"/>
      </w:pPr>
      <w:r w:rsidRPr="00A268AF">
        <w:t>В рамках муниципальной программы Сосновоборского городского округа «Городское хозяйство на 2014-2024 годы» в 2020 году заключены Соглашения:</w:t>
      </w:r>
    </w:p>
    <w:p w:rsidR="005670AC" w:rsidRPr="00A268AF" w:rsidRDefault="005670AC" w:rsidP="005670AC">
      <w:pPr>
        <w:autoSpaceDE w:val="0"/>
        <w:autoSpaceDN w:val="0"/>
        <w:ind w:firstLine="709"/>
      </w:pPr>
      <w:r w:rsidRPr="00A268AF">
        <w:t>1. Со СМУП «Водоканал» о предоставлении субсидии на финансовое обеспечение затрат в связи с реализацией мероприятий, направленных на безаварийную работу объектов водоснабжения и водоотведения, на сумму 713,31 тыс. руб.</w:t>
      </w:r>
    </w:p>
    <w:p w:rsidR="005670AC" w:rsidRPr="00A268AF" w:rsidRDefault="005670AC" w:rsidP="005670AC">
      <w:pPr>
        <w:autoSpaceDE w:val="0"/>
        <w:autoSpaceDN w:val="0"/>
        <w:ind w:firstLine="709"/>
      </w:pPr>
      <w:r w:rsidRPr="00A268AF">
        <w:t xml:space="preserve">2. Со СМУП «ТСП» о предоставлении субсидии в целях финансового обеспечения затрат по выполнению мероприятий, направленных на безаварийную работу объектов систем теплоснабжения, включая затраты на проведение экспертиз необходимых для нормальной эксплуатации объектов теплоснабжения согласно требованиям ФЗ РФ и иных нормативных актов в области промышленной безопасности, на сумму 3100,0 тыс. руб. </w:t>
      </w:r>
    </w:p>
    <w:p w:rsidR="005670AC" w:rsidRPr="00A268AF" w:rsidRDefault="005670AC" w:rsidP="005670AC">
      <w:pPr>
        <w:autoSpaceDE w:val="0"/>
        <w:autoSpaceDN w:val="0"/>
        <w:ind w:firstLine="709"/>
      </w:pPr>
      <w:r w:rsidRPr="00A268AF">
        <w:t xml:space="preserve">3. Со СМУП «ТСП» о предоставлении субсидии в целях финансового обеспечения затрат на выполнение мероприятий по повышению надежности и энергетической эффективности объектов теплоснабжения, на сумму 2150,067 тыс. руб. </w:t>
      </w:r>
    </w:p>
    <w:p w:rsidR="005670AC" w:rsidRPr="00A268AF" w:rsidRDefault="005670AC" w:rsidP="005670AC">
      <w:pPr>
        <w:ind w:firstLine="709"/>
      </w:pPr>
      <w:r w:rsidRPr="00A268AF">
        <w:t>4. Со СМУП «ТСП» о предоставлении субсидии в целях финансового обеспечения затрат на выполнение мероприятий направленных на безаварийную работу объектов теплоснабжения, на сумму 491,167 тыс. руб.</w:t>
      </w:r>
    </w:p>
    <w:p w:rsidR="005670AC" w:rsidRPr="00A268AF" w:rsidRDefault="005670AC" w:rsidP="005670AC">
      <w:pPr>
        <w:ind w:firstLine="709"/>
      </w:pPr>
      <w:r w:rsidRPr="00A268AF">
        <w:t>5. Со СМУП «ТСП» о предоставлении субсидии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собственность, на сумму 188,499 тыс. руб.</w:t>
      </w:r>
    </w:p>
    <w:p w:rsidR="005670AC" w:rsidRPr="00A268AF" w:rsidRDefault="005670AC" w:rsidP="005670AC">
      <w:pPr>
        <w:tabs>
          <w:tab w:val="num" w:pos="-2127"/>
        </w:tabs>
        <w:ind w:firstLine="709"/>
      </w:pPr>
      <w:r w:rsidRPr="00A268AF">
        <w:t>В рамках муниципальной программы Сосновоборского городского округа «Городское хозяйство на 2014-2024 годы» выполнены работы по установке приборов учета коммунальных услуг на сумму 10,955 тыс. руб.: 1 ед. прибора учета холодной воды и 1 прибор учета горячей воды в учреждении культуры.</w:t>
      </w:r>
    </w:p>
    <w:p w:rsidR="005670AC" w:rsidRPr="00A268AF" w:rsidRDefault="005670AC" w:rsidP="005670AC">
      <w:pPr>
        <w:ind w:firstLine="709"/>
      </w:pPr>
      <w:r w:rsidRPr="00A268AF">
        <w:t>В настоящее время оборудовано квартир приборами учета коммунальных ресурсов:</w:t>
      </w:r>
    </w:p>
    <w:p w:rsidR="005670AC" w:rsidRPr="00A268AF" w:rsidRDefault="005670AC" w:rsidP="005670AC">
      <w:pPr>
        <w:ind w:firstLine="709"/>
      </w:pPr>
      <w:r w:rsidRPr="00A268AF">
        <w:t>- холодного водоснабжения – 18605 квартир, что составляет 66,14 % от общего количества квартир в многоквартирных домах;</w:t>
      </w:r>
    </w:p>
    <w:p w:rsidR="005670AC" w:rsidRPr="00A268AF" w:rsidRDefault="005670AC" w:rsidP="005670AC">
      <w:pPr>
        <w:ind w:firstLine="709"/>
      </w:pPr>
      <w:r w:rsidRPr="00A268AF">
        <w:t>- горячего водоснабжения – 17800 квартир, что составляет 63,3 % от общего количества квартир многоквартирных жилых домов;</w:t>
      </w:r>
    </w:p>
    <w:p w:rsidR="005670AC" w:rsidRPr="00A268AF" w:rsidRDefault="005670AC" w:rsidP="005670AC">
      <w:pPr>
        <w:ind w:firstLine="709"/>
      </w:pPr>
      <w:r w:rsidRPr="00A268AF">
        <w:t>- электрической энергии – 28128 квартир, что составляет 100 % от общего количества квартир в многоквартирных домах.</w:t>
      </w:r>
    </w:p>
    <w:p w:rsidR="005670AC" w:rsidRPr="00A268AF" w:rsidRDefault="005670AC" w:rsidP="005670AC">
      <w:pPr>
        <w:tabs>
          <w:tab w:val="left" w:pos="851"/>
        </w:tabs>
        <w:autoSpaceDE w:val="0"/>
        <w:autoSpaceDN w:val="0"/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keepNext/>
        <w:tabs>
          <w:tab w:val="left" w:pos="3130"/>
          <w:tab w:val="center" w:pos="5032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68AF">
        <w:rPr>
          <w:rFonts w:eastAsia="Times New Roman"/>
          <w:b/>
          <w:bCs/>
          <w:sz w:val="28"/>
          <w:szCs w:val="28"/>
          <w:lang w:eastAsia="ru-RU"/>
        </w:rPr>
        <w:t>Показатели</w:t>
      </w:r>
    </w:p>
    <w:p w:rsidR="005670AC" w:rsidRPr="00A268AF" w:rsidRDefault="005670AC" w:rsidP="005670AC">
      <w:pPr>
        <w:keepNext/>
        <w:tabs>
          <w:tab w:val="left" w:pos="3130"/>
          <w:tab w:val="center" w:pos="5032"/>
        </w:tabs>
        <w:jc w:val="center"/>
        <w:rPr>
          <w:rFonts w:eastAsia="Times New Roman"/>
          <w:b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39. Удельная величина потребления энергетических ресурсов в многоквартирных домах: электрическая энергия, тепловая энергия, горячая вода, холодная вода, природный газ.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2020 году удельная величина потребления энергетических ресурсов в многоквартирных домах составила: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электрической энергии – 725,13 кВт/</w:t>
      </w:r>
      <w:proofErr w:type="gramStart"/>
      <w:r w:rsidRPr="00A268AF">
        <w:rPr>
          <w:rFonts w:eastAsia="Times New Roman"/>
          <w:bCs/>
          <w:lang w:eastAsia="ru-RU"/>
        </w:rPr>
        <w:t>ч</w:t>
      </w:r>
      <w:proofErr w:type="gramEnd"/>
      <w:r w:rsidRPr="00A268AF">
        <w:rPr>
          <w:rFonts w:eastAsia="Times New Roman"/>
          <w:bCs/>
          <w:lang w:eastAsia="ru-RU"/>
        </w:rPr>
        <w:t xml:space="preserve"> на 1 проживающего (104 %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lastRenderedPageBreak/>
        <w:t>- тепловой энергии – 0,12 Гкал на 1 кв</w:t>
      </w:r>
      <w:proofErr w:type="gramStart"/>
      <w:r w:rsidRPr="00A268AF">
        <w:rPr>
          <w:rFonts w:eastAsia="Times New Roman"/>
          <w:bCs/>
          <w:lang w:eastAsia="ru-RU"/>
        </w:rPr>
        <w:t>.м</w:t>
      </w:r>
      <w:proofErr w:type="gramEnd"/>
      <w:r w:rsidRPr="00A268AF">
        <w:rPr>
          <w:rFonts w:eastAsia="Times New Roman"/>
          <w:bCs/>
          <w:lang w:eastAsia="ru-RU"/>
        </w:rPr>
        <w:t xml:space="preserve"> общей площади (92,3 %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горячей воды – 23,59 куб. </w:t>
      </w:r>
      <w:proofErr w:type="gramStart"/>
      <w:r w:rsidRPr="00A268AF">
        <w:rPr>
          <w:rFonts w:eastAsia="Times New Roman"/>
          <w:bCs/>
          <w:lang w:eastAsia="ru-RU"/>
        </w:rPr>
        <w:t>м</w:t>
      </w:r>
      <w:proofErr w:type="gramEnd"/>
      <w:r w:rsidRPr="00A268AF">
        <w:rPr>
          <w:rFonts w:eastAsia="Times New Roman"/>
          <w:bCs/>
          <w:lang w:eastAsia="ru-RU"/>
        </w:rPr>
        <w:t xml:space="preserve"> на 1 проживающего (99 %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холодной воды – 36,92 куб. </w:t>
      </w:r>
      <w:proofErr w:type="gramStart"/>
      <w:r w:rsidRPr="00A268AF">
        <w:rPr>
          <w:rFonts w:eastAsia="Times New Roman"/>
          <w:bCs/>
          <w:lang w:eastAsia="ru-RU"/>
        </w:rPr>
        <w:t>м</w:t>
      </w:r>
      <w:proofErr w:type="gramEnd"/>
      <w:r w:rsidRPr="00A268AF">
        <w:rPr>
          <w:rFonts w:eastAsia="Times New Roman"/>
          <w:bCs/>
          <w:lang w:eastAsia="ru-RU"/>
        </w:rPr>
        <w:t xml:space="preserve"> на 1 проживающего (102 %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природного газа – 129,87 куб. </w:t>
      </w:r>
      <w:proofErr w:type="gramStart"/>
      <w:r w:rsidRPr="00A268AF">
        <w:rPr>
          <w:rFonts w:eastAsia="Times New Roman"/>
          <w:bCs/>
          <w:lang w:eastAsia="ru-RU"/>
        </w:rPr>
        <w:t>м</w:t>
      </w:r>
      <w:proofErr w:type="gramEnd"/>
      <w:r w:rsidRPr="00A268AF">
        <w:rPr>
          <w:rFonts w:eastAsia="Times New Roman"/>
          <w:bCs/>
          <w:lang w:eastAsia="ru-RU"/>
        </w:rPr>
        <w:t xml:space="preserve"> на 1 проживающего (99,1 % к 2019 году).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удельная величина потребления энергетических ресурсов в многоквартирных домах планируется на уровне 2020 года.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Показатель 40. 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вода, природный газ.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В 2020 году удельная величина потребления энергетических ресурсов </w:t>
      </w:r>
      <w:proofErr w:type="gramStart"/>
      <w:r w:rsidRPr="00A268AF">
        <w:rPr>
          <w:rFonts w:eastAsia="Times New Roman"/>
          <w:bCs/>
          <w:lang w:eastAsia="ru-RU"/>
        </w:rPr>
        <w:t>муниципальными</w:t>
      </w:r>
      <w:proofErr w:type="gramEnd"/>
      <w:r w:rsidRPr="00A268AF">
        <w:rPr>
          <w:rFonts w:eastAsia="Times New Roman"/>
          <w:bCs/>
          <w:lang w:eastAsia="ru-RU"/>
        </w:rPr>
        <w:t xml:space="preserve"> бюджетными учреждениям составила: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электрической энергии – 55,92 кВт/</w:t>
      </w:r>
      <w:proofErr w:type="gramStart"/>
      <w:r w:rsidRPr="00A268AF">
        <w:rPr>
          <w:rFonts w:eastAsia="Times New Roman"/>
          <w:bCs/>
          <w:lang w:eastAsia="ru-RU"/>
        </w:rPr>
        <w:t>ч</w:t>
      </w:r>
      <w:proofErr w:type="gramEnd"/>
      <w:r w:rsidRPr="00A268AF">
        <w:rPr>
          <w:rFonts w:eastAsia="Times New Roman"/>
          <w:bCs/>
          <w:lang w:eastAsia="ru-RU"/>
        </w:rPr>
        <w:t xml:space="preserve"> </w:t>
      </w:r>
      <w:bookmarkStart w:id="5" w:name="_GoBack"/>
      <w:bookmarkEnd w:id="5"/>
      <w:r w:rsidRPr="00A268AF">
        <w:rPr>
          <w:rFonts w:eastAsia="Times New Roman"/>
          <w:bCs/>
          <w:lang w:eastAsia="ru-RU"/>
        </w:rPr>
        <w:t>на 1 человека (91,6 %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тепловой энергии – 0,14 Гкал на 1 кв.м. общей площади (87,5 %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горячей воды – 0,50 куб. </w:t>
      </w:r>
      <w:proofErr w:type="gramStart"/>
      <w:r w:rsidRPr="00A268AF">
        <w:rPr>
          <w:rFonts w:eastAsia="Times New Roman"/>
          <w:bCs/>
          <w:lang w:eastAsia="ru-RU"/>
        </w:rPr>
        <w:t>м</w:t>
      </w:r>
      <w:proofErr w:type="gramEnd"/>
      <w:r w:rsidRPr="00A268AF">
        <w:rPr>
          <w:rFonts w:eastAsia="Times New Roman"/>
          <w:bCs/>
          <w:lang w:eastAsia="ru-RU"/>
        </w:rPr>
        <w:t xml:space="preserve"> на 1 человека населения (71,4 % к 2019 году);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- холодной воды – 0,72 куб. </w:t>
      </w:r>
      <w:proofErr w:type="gramStart"/>
      <w:r w:rsidRPr="00A268AF">
        <w:rPr>
          <w:rFonts w:eastAsia="Times New Roman"/>
          <w:bCs/>
          <w:lang w:eastAsia="ru-RU"/>
        </w:rPr>
        <w:t>м</w:t>
      </w:r>
      <w:proofErr w:type="gramEnd"/>
      <w:r w:rsidRPr="00A268AF">
        <w:rPr>
          <w:rFonts w:eastAsia="Times New Roman"/>
          <w:bCs/>
          <w:lang w:eastAsia="ru-RU"/>
        </w:rPr>
        <w:t xml:space="preserve"> на 1 человека населения (75,79 % к 2019 году).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- природный газ муниципальные бюджетные учреждения не потребляют.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удельная величина потребления энергетических ресурсов муниципальными бюджетными учреждениями планируется на уровне 2020 года.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 xml:space="preserve">Показатель 41. </w:t>
      </w:r>
      <w:proofErr w:type="gramStart"/>
      <w:r w:rsidRPr="00A268AF">
        <w:rPr>
          <w:rFonts w:eastAsia="Times New Roman"/>
          <w:b/>
          <w:bCs/>
          <w:lang w:eastAsia="ru-RU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  <w:proofErr w:type="gramEnd"/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в сфере культуры: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2020 году показатель составил 86,17 баллов (среднее значение по показателям 8 учреждений, в отношении которых в 2020 году проведена независимая оценка качества).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2021-2023 годах показатель прогнозируется на уровне 100 баллов (следующая независимая оценка – в 2023 году).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</w:p>
    <w:p w:rsidR="005670AC" w:rsidRPr="00A268AF" w:rsidRDefault="005670AC" w:rsidP="005670AC">
      <w:pPr>
        <w:ind w:firstLine="709"/>
        <w:rPr>
          <w:rFonts w:eastAsia="Times New Roman"/>
          <w:b/>
          <w:bCs/>
          <w:lang w:eastAsia="ru-RU"/>
        </w:rPr>
      </w:pPr>
      <w:r w:rsidRPr="00A268AF">
        <w:rPr>
          <w:rFonts w:eastAsia="Times New Roman"/>
          <w:b/>
          <w:bCs/>
          <w:lang w:eastAsia="ru-RU"/>
        </w:rPr>
        <w:t>в сфере образования: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 xml:space="preserve">В 2020 году средний балл по независимой оценке качества условий оказания услуг муниципальными организациями в сфере образования остался на уровне 85,85. </w:t>
      </w:r>
    </w:p>
    <w:p w:rsidR="005670AC" w:rsidRPr="00A268AF" w:rsidRDefault="005670AC" w:rsidP="005670AC">
      <w:pPr>
        <w:ind w:firstLine="708"/>
        <w:rPr>
          <w:rFonts w:eastAsia="Times New Roman"/>
          <w:u w:val="single"/>
          <w:lang w:eastAsia="ru-RU"/>
        </w:rPr>
      </w:pPr>
      <w:r w:rsidRPr="00A268AF">
        <w:rPr>
          <w:rFonts w:eastAsia="Times New Roman"/>
          <w:u w:val="single"/>
          <w:lang w:eastAsia="ru-RU"/>
        </w:rPr>
        <w:t>Прогноз на трехлетний период</w:t>
      </w:r>
    </w:p>
    <w:p w:rsidR="005670AC" w:rsidRPr="00A268AF" w:rsidRDefault="005670AC" w:rsidP="005670AC">
      <w:pPr>
        <w:ind w:firstLine="709"/>
        <w:rPr>
          <w:rFonts w:eastAsia="Times New Roman"/>
          <w:bCs/>
          <w:lang w:eastAsia="ru-RU"/>
        </w:rPr>
      </w:pPr>
      <w:r w:rsidRPr="00A268AF">
        <w:rPr>
          <w:rFonts w:eastAsia="Times New Roman"/>
          <w:bCs/>
          <w:lang w:eastAsia="ru-RU"/>
        </w:rPr>
        <w:t>В 2021 году средний балл сохранится на уровне 85,85. Независимая оценка качества условий оказания услуг муниципальными организациями в сфере образования проводилась в 2019 году и следующая запланирована на 2022 год (независимая оценка проводится не реже одного раза в три года) и средний балл по независимой оценке на 2022-2023 годы планируется на уровне 86,5.</w:t>
      </w:r>
    </w:p>
    <w:p w:rsidR="005670AC" w:rsidRDefault="005670AC" w:rsidP="00F260EC"/>
    <w:sectPr w:rsidR="005670AC" w:rsidSect="005F179A">
      <w:pgSz w:w="11905" w:h="16838" w:code="9"/>
      <w:pgMar w:top="1021" w:right="680" w:bottom="1021" w:left="1361" w:header="0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AD" w:rsidRDefault="002C27AD" w:rsidP="00883B80">
      <w:r>
        <w:separator/>
      </w:r>
    </w:p>
  </w:endnote>
  <w:endnote w:type="continuationSeparator" w:id="0">
    <w:p w:rsidR="002C27AD" w:rsidRDefault="002C27AD" w:rsidP="0088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AD" w:rsidRDefault="002C27AD" w:rsidP="00883B80">
      <w:r>
        <w:separator/>
      </w:r>
    </w:p>
  </w:footnote>
  <w:footnote w:type="continuationSeparator" w:id="0">
    <w:p w:rsidR="002C27AD" w:rsidRDefault="002C27AD" w:rsidP="0088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232"/>
    <w:multiLevelType w:val="hybridMultilevel"/>
    <w:tmpl w:val="7BA8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F75A3"/>
    <w:multiLevelType w:val="hybridMultilevel"/>
    <w:tmpl w:val="79D8B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038C"/>
    <w:multiLevelType w:val="hybridMultilevel"/>
    <w:tmpl w:val="622A4D6E"/>
    <w:lvl w:ilvl="0" w:tplc="B9F457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5C6414"/>
    <w:multiLevelType w:val="hybridMultilevel"/>
    <w:tmpl w:val="7A6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65E3C"/>
    <w:multiLevelType w:val="hybridMultilevel"/>
    <w:tmpl w:val="EFD0A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00C9"/>
    <w:multiLevelType w:val="hybridMultilevel"/>
    <w:tmpl w:val="11F66230"/>
    <w:lvl w:ilvl="0" w:tplc="BFD6E45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2E0F06"/>
    <w:multiLevelType w:val="hybridMultilevel"/>
    <w:tmpl w:val="592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5C8F"/>
    <w:multiLevelType w:val="hybridMultilevel"/>
    <w:tmpl w:val="337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36021"/>
    <w:multiLevelType w:val="hybridMultilevel"/>
    <w:tmpl w:val="CB7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0DE7"/>
    <w:multiLevelType w:val="hybridMultilevel"/>
    <w:tmpl w:val="3932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25F9"/>
    <w:multiLevelType w:val="multilevel"/>
    <w:tmpl w:val="C6E82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92C8A"/>
    <w:multiLevelType w:val="hybridMultilevel"/>
    <w:tmpl w:val="D0D8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DE6469A"/>
    <w:multiLevelType w:val="hybridMultilevel"/>
    <w:tmpl w:val="0980BA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DEB7885"/>
    <w:multiLevelType w:val="hybridMultilevel"/>
    <w:tmpl w:val="4E0820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a8fa81-1890-4b5e-b548-25324efbd97f"/>
  </w:docVars>
  <w:rsids>
    <w:rsidRoot w:val="004300C3"/>
    <w:rsid w:val="000008EB"/>
    <w:rsid w:val="00012FDF"/>
    <w:rsid w:val="00017B6D"/>
    <w:rsid w:val="000321A7"/>
    <w:rsid w:val="00035E20"/>
    <w:rsid w:val="000603C1"/>
    <w:rsid w:val="00074EE0"/>
    <w:rsid w:val="000818D3"/>
    <w:rsid w:val="000B107B"/>
    <w:rsid w:val="000C79C7"/>
    <w:rsid w:val="000E2A21"/>
    <w:rsid w:val="000E6200"/>
    <w:rsid w:val="00117824"/>
    <w:rsid w:val="00167DD1"/>
    <w:rsid w:val="00175C00"/>
    <w:rsid w:val="001962FF"/>
    <w:rsid w:val="001978A6"/>
    <w:rsid w:val="001A6B35"/>
    <w:rsid w:val="001B0FB9"/>
    <w:rsid w:val="001B2885"/>
    <w:rsid w:val="001B3535"/>
    <w:rsid w:val="002079FE"/>
    <w:rsid w:val="002104CD"/>
    <w:rsid w:val="00217F72"/>
    <w:rsid w:val="00222B83"/>
    <w:rsid w:val="002657D7"/>
    <w:rsid w:val="0028732B"/>
    <w:rsid w:val="002A1AFF"/>
    <w:rsid w:val="002B1500"/>
    <w:rsid w:val="002B4A36"/>
    <w:rsid w:val="002C27AD"/>
    <w:rsid w:val="002C555C"/>
    <w:rsid w:val="002D305E"/>
    <w:rsid w:val="002E44BB"/>
    <w:rsid w:val="00323581"/>
    <w:rsid w:val="00330535"/>
    <w:rsid w:val="00331B8A"/>
    <w:rsid w:val="00336AE6"/>
    <w:rsid w:val="003838A1"/>
    <w:rsid w:val="0038626C"/>
    <w:rsid w:val="00387ED7"/>
    <w:rsid w:val="003A5387"/>
    <w:rsid w:val="003B256D"/>
    <w:rsid w:val="003C0AB3"/>
    <w:rsid w:val="003C0F76"/>
    <w:rsid w:val="003C7D92"/>
    <w:rsid w:val="003D0EA8"/>
    <w:rsid w:val="003E26D6"/>
    <w:rsid w:val="00402A88"/>
    <w:rsid w:val="00410C43"/>
    <w:rsid w:val="004300C3"/>
    <w:rsid w:val="00440263"/>
    <w:rsid w:val="00472CFE"/>
    <w:rsid w:val="0048126A"/>
    <w:rsid w:val="00486A0E"/>
    <w:rsid w:val="004924C4"/>
    <w:rsid w:val="004A2BCB"/>
    <w:rsid w:val="004B0202"/>
    <w:rsid w:val="004B31F7"/>
    <w:rsid w:val="004B7122"/>
    <w:rsid w:val="004C3479"/>
    <w:rsid w:val="0053382B"/>
    <w:rsid w:val="00547E1A"/>
    <w:rsid w:val="00566582"/>
    <w:rsid w:val="005670AC"/>
    <w:rsid w:val="00571139"/>
    <w:rsid w:val="005944B5"/>
    <w:rsid w:val="0059688B"/>
    <w:rsid w:val="005A2C09"/>
    <w:rsid w:val="005A6F11"/>
    <w:rsid w:val="005B1CF7"/>
    <w:rsid w:val="005C3BC5"/>
    <w:rsid w:val="005E2B76"/>
    <w:rsid w:val="00620EA8"/>
    <w:rsid w:val="006266B0"/>
    <w:rsid w:val="00647C3C"/>
    <w:rsid w:val="00671521"/>
    <w:rsid w:val="006A08FD"/>
    <w:rsid w:val="006C120B"/>
    <w:rsid w:val="006C6A22"/>
    <w:rsid w:val="006D3EA6"/>
    <w:rsid w:val="006E4965"/>
    <w:rsid w:val="006E5DC0"/>
    <w:rsid w:val="006F6B9D"/>
    <w:rsid w:val="00707176"/>
    <w:rsid w:val="00711241"/>
    <w:rsid w:val="00742958"/>
    <w:rsid w:val="00743A31"/>
    <w:rsid w:val="00744532"/>
    <w:rsid w:val="0075110F"/>
    <w:rsid w:val="00753485"/>
    <w:rsid w:val="007627FD"/>
    <w:rsid w:val="0076454D"/>
    <w:rsid w:val="007910A3"/>
    <w:rsid w:val="007B5440"/>
    <w:rsid w:val="007B711D"/>
    <w:rsid w:val="007D7ED6"/>
    <w:rsid w:val="007E5409"/>
    <w:rsid w:val="007E6690"/>
    <w:rsid w:val="00846B16"/>
    <w:rsid w:val="008567F5"/>
    <w:rsid w:val="00857952"/>
    <w:rsid w:val="008734BC"/>
    <w:rsid w:val="00883055"/>
    <w:rsid w:val="00883B80"/>
    <w:rsid w:val="008867F8"/>
    <w:rsid w:val="00893E31"/>
    <w:rsid w:val="008E4C8D"/>
    <w:rsid w:val="00910397"/>
    <w:rsid w:val="009204C8"/>
    <w:rsid w:val="0092217C"/>
    <w:rsid w:val="00923631"/>
    <w:rsid w:val="0094705D"/>
    <w:rsid w:val="009546CA"/>
    <w:rsid w:val="00954FE2"/>
    <w:rsid w:val="0097071D"/>
    <w:rsid w:val="009779C1"/>
    <w:rsid w:val="009949C9"/>
    <w:rsid w:val="009B0903"/>
    <w:rsid w:val="009B1466"/>
    <w:rsid w:val="009C64FE"/>
    <w:rsid w:val="009C705B"/>
    <w:rsid w:val="009D1FA4"/>
    <w:rsid w:val="009D36A1"/>
    <w:rsid w:val="009E7172"/>
    <w:rsid w:val="00A04284"/>
    <w:rsid w:val="00A44F03"/>
    <w:rsid w:val="00A81D9C"/>
    <w:rsid w:val="00A969BC"/>
    <w:rsid w:val="00AA6947"/>
    <w:rsid w:val="00AC7BF5"/>
    <w:rsid w:val="00B23513"/>
    <w:rsid w:val="00B31227"/>
    <w:rsid w:val="00B45179"/>
    <w:rsid w:val="00B459BC"/>
    <w:rsid w:val="00B52C9E"/>
    <w:rsid w:val="00B61CE2"/>
    <w:rsid w:val="00B667B8"/>
    <w:rsid w:val="00B73BC9"/>
    <w:rsid w:val="00B91F5B"/>
    <w:rsid w:val="00BA412D"/>
    <w:rsid w:val="00BA7CCE"/>
    <w:rsid w:val="00BD3B39"/>
    <w:rsid w:val="00BE55DF"/>
    <w:rsid w:val="00C05A2F"/>
    <w:rsid w:val="00C071AE"/>
    <w:rsid w:val="00C1478F"/>
    <w:rsid w:val="00C21DBE"/>
    <w:rsid w:val="00C32100"/>
    <w:rsid w:val="00C40AE2"/>
    <w:rsid w:val="00C40D91"/>
    <w:rsid w:val="00C445D0"/>
    <w:rsid w:val="00C5039D"/>
    <w:rsid w:val="00C57CD0"/>
    <w:rsid w:val="00C7015B"/>
    <w:rsid w:val="00C71C47"/>
    <w:rsid w:val="00C737C3"/>
    <w:rsid w:val="00C84F9C"/>
    <w:rsid w:val="00C915A6"/>
    <w:rsid w:val="00C93CD1"/>
    <w:rsid w:val="00C95467"/>
    <w:rsid w:val="00CB51D1"/>
    <w:rsid w:val="00CC022C"/>
    <w:rsid w:val="00CE4AA4"/>
    <w:rsid w:val="00CF50A3"/>
    <w:rsid w:val="00D043A3"/>
    <w:rsid w:val="00D225EA"/>
    <w:rsid w:val="00D2336C"/>
    <w:rsid w:val="00D36B22"/>
    <w:rsid w:val="00D432BA"/>
    <w:rsid w:val="00D633A4"/>
    <w:rsid w:val="00D767AC"/>
    <w:rsid w:val="00D802DA"/>
    <w:rsid w:val="00D9698A"/>
    <w:rsid w:val="00DD222D"/>
    <w:rsid w:val="00DD26B1"/>
    <w:rsid w:val="00DD5027"/>
    <w:rsid w:val="00DE128E"/>
    <w:rsid w:val="00E1407C"/>
    <w:rsid w:val="00E232E9"/>
    <w:rsid w:val="00E52FFD"/>
    <w:rsid w:val="00E664C2"/>
    <w:rsid w:val="00E83722"/>
    <w:rsid w:val="00EA6190"/>
    <w:rsid w:val="00EB0A49"/>
    <w:rsid w:val="00EB5BB7"/>
    <w:rsid w:val="00EC7C18"/>
    <w:rsid w:val="00EF0B29"/>
    <w:rsid w:val="00F01558"/>
    <w:rsid w:val="00F11D52"/>
    <w:rsid w:val="00F135F0"/>
    <w:rsid w:val="00F15123"/>
    <w:rsid w:val="00F24E46"/>
    <w:rsid w:val="00F25317"/>
    <w:rsid w:val="00F260EC"/>
    <w:rsid w:val="00F30243"/>
    <w:rsid w:val="00F37FD5"/>
    <w:rsid w:val="00F47EE1"/>
    <w:rsid w:val="00F5032D"/>
    <w:rsid w:val="00F66FB6"/>
    <w:rsid w:val="00F92759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1">
    <w:name w:val="heading 1"/>
    <w:basedOn w:val="a"/>
    <w:next w:val="a"/>
    <w:link w:val="10"/>
    <w:qFormat/>
    <w:rsid w:val="00DD222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22D"/>
    <w:pPr>
      <w:keepNext/>
      <w:jc w:val="lef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D222D"/>
    <w:pPr>
      <w:keepNext/>
      <w:jc w:val="center"/>
      <w:outlineLvl w:val="2"/>
    </w:pPr>
    <w:rPr>
      <w:rFonts w:eastAsia="Times New Roman"/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222D"/>
    <w:pPr>
      <w:keepNext/>
      <w:keepLines/>
      <w:spacing w:before="200"/>
      <w:jc w:val="left"/>
      <w:outlineLvl w:val="4"/>
    </w:pPr>
    <w:rPr>
      <w:rFonts w:ascii="Cambria" w:eastAsia="Times New Roman" w:hAnsi="Cambria"/>
      <w:color w:val="243F6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2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222D"/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D222D"/>
    <w:rPr>
      <w:rFonts w:eastAsia="Times New Roman"/>
      <w:b/>
      <w:caps/>
      <w:spacing w:val="20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DD222D"/>
    <w:rPr>
      <w:rFonts w:ascii="Cambria" w:eastAsia="Times New Roman" w:hAnsi="Cambria"/>
      <w:color w:val="243F60"/>
      <w:sz w:val="22"/>
      <w:szCs w:val="20"/>
    </w:rPr>
  </w:style>
  <w:style w:type="paragraph" w:customStyle="1" w:styleId="ConsPlusNormal">
    <w:name w:val="ConsPlusNormal"/>
    <w:rsid w:val="00DD222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D22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22D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D222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22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22D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D222D"/>
  </w:style>
  <w:style w:type="table" w:styleId="a5">
    <w:name w:val="Table Grid"/>
    <w:basedOn w:val="a1"/>
    <w:uiPriority w:val="59"/>
    <w:rsid w:val="00DD222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D222D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D222D"/>
    <w:rPr>
      <w:rFonts w:ascii="Tahoma" w:eastAsia="Times New Roman" w:hAnsi="Tahoma"/>
      <w:sz w:val="16"/>
      <w:szCs w:val="16"/>
      <w:lang w:eastAsia="ru-RU"/>
    </w:rPr>
  </w:style>
  <w:style w:type="paragraph" w:customStyle="1" w:styleId="headertext">
    <w:name w:val="headertext"/>
    <w:uiPriority w:val="99"/>
    <w:rsid w:val="00DD222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a8">
    <w:name w:val="header"/>
    <w:basedOn w:val="a"/>
    <w:link w:val="a9"/>
    <w:rsid w:val="00DD222D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DD222D"/>
    <w:rPr>
      <w:rFonts w:eastAsia="Times New Roman"/>
      <w:sz w:val="22"/>
      <w:szCs w:val="20"/>
    </w:rPr>
  </w:style>
  <w:style w:type="paragraph" w:styleId="aa">
    <w:name w:val="footer"/>
    <w:basedOn w:val="a"/>
    <w:link w:val="ab"/>
    <w:uiPriority w:val="99"/>
    <w:rsid w:val="00DD222D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D222D"/>
    <w:rPr>
      <w:rFonts w:eastAsia="Times New Roman"/>
      <w:sz w:val="22"/>
      <w:szCs w:val="20"/>
    </w:rPr>
  </w:style>
  <w:style w:type="paragraph" w:styleId="ac">
    <w:name w:val="Body Text Indent"/>
    <w:basedOn w:val="a"/>
    <w:link w:val="ad"/>
    <w:rsid w:val="00DD222D"/>
    <w:pPr>
      <w:ind w:firstLine="720"/>
    </w:pPr>
    <w:rPr>
      <w:rFonts w:eastAsia="Times New Roman"/>
      <w:b/>
      <w:bCs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D222D"/>
    <w:rPr>
      <w:rFonts w:eastAsia="Times New Roman"/>
      <w:b/>
      <w:bCs/>
      <w:sz w:val="28"/>
      <w:szCs w:val="20"/>
    </w:rPr>
  </w:style>
  <w:style w:type="paragraph" w:styleId="ae">
    <w:name w:val="No Spacing"/>
    <w:basedOn w:val="a"/>
    <w:link w:val="af"/>
    <w:uiPriority w:val="1"/>
    <w:qFormat/>
    <w:rsid w:val="00DD222D"/>
    <w:pPr>
      <w:jc w:val="left"/>
    </w:pPr>
    <w:rPr>
      <w:rFonts w:ascii="Calibri" w:eastAsia="Times New Roman" w:hAnsi="Calibri"/>
      <w:szCs w:val="32"/>
      <w:lang w:val="en-US" w:bidi="en-US"/>
    </w:rPr>
  </w:style>
  <w:style w:type="paragraph" w:styleId="af0">
    <w:name w:val="Plain Text"/>
    <w:basedOn w:val="a"/>
    <w:link w:val="af1"/>
    <w:uiPriority w:val="99"/>
    <w:rsid w:val="00DD222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D222D"/>
    <w:rPr>
      <w:rFonts w:ascii="Courier New" w:eastAsia="Times New Roman" w:hAnsi="Courier New"/>
      <w:sz w:val="20"/>
      <w:szCs w:val="20"/>
    </w:rPr>
  </w:style>
  <w:style w:type="paragraph" w:styleId="af2">
    <w:name w:val="Body Text"/>
    <w:basedOn w:val="a"/>
    <w:link w:val="af3"/>
    <w:rsid w:val="00DD222D"/>
    <w:pPr>
      <w:spacing w:after="120"/>
      <w:jc w:val="left"/>
    </w:pPr>
    <w:rPr>
      <w:rFonts w:eastAsia="Times New Roman"/>
      <w:sz w:val="22"/>
      <w:szCs w:val="20"/>
    </w:rPr>
  </w:style>
  <w:style w:type="character" w:customStyle="1" w:styleId="af3">
    <w:name w:val="Основной текст Знак"/>
    <w:basedOn w:val="a0"/>
    <w:link w:val="af2"/>
    <w:rsid w:val="00DD222D"/>
    <w:rPr>
      <w:rFonts w:eastAsia="Times New Roman"/>
      <w:sz w:val="22"/>
      <w:szCs w:val="20"/>
    </w:rPr>
  </w:style>
  <w:style w:type="paragraph" w:styleId="21">
    <w:name w:val="Body Text 2"/>
    <w:basedOn w:val="a"/>
    <w:link w:val="22"/>
    <w:rsid w:val="00DD222D"/>
    <w:pPr>
      <w:spacing w:after="120" w:line="480" w:lineRule="auto"/>
      <w:jc w:val="left"/>
    </w:pPr>
    <w:rPr>
      <w:rFonts w:eastAsia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D222D"/>
    <w:rPr>
      <w:rFonts w:eastAsia="Times New Roman"/>
      <w:sz w:val="22"/>
      <w:szCs w:val="20"/>
    </w:rPr>
  </w:style>
  <w:style w:type="paragraph" w:customStyle="1" w:styleId="210">
    <w:name w:val="Основной текст 21"/>
    <w:basedOn w:val="a"/>
    <w:rsid w:val="00DD222D"/>
    <w:pPr>
      <w:ind w:firstLine="72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List Paragraph"/>
    <w:basedOn w:val="a"/>
    <w:uiPriority w:val="34"/>
    <w:qFormat/>
    <w:rsid w:val="00DD222D"/>
    <w:pPr>
      <w:ind w:left="720"/>
      <w:contextualSpacing/>
      <w:jc w:val="left"/>
    </w:pPr>
    <w:rPr>
      <w:rFonts w:eastAsia="Times New Roman"/>
      <w:sz w:val="22"/>
      <w:szCs w:val="20"/>
      <w:lang w:eastAsia="ru-RU"/>
    </w:rPr>
  </w:style>
  <w:style w:type="paragraph" w:styleId="af5">
    <w:name w:val="Body Text First Indent"/>
    <w:basedOn w:val="af2"/>
    <w:link w:val="af6"/>
    <w:rsid w:val="00DD222D"/>
    <w:pPr>
      <w:spacing w:after="0"/>
      <w:ind w:firstLine="360"/>
    </w:pPr>
  </w:style>
  <w:style w:type="character" w:customStyle="1" w:styleId="af6">
    <w:name w:val="Красная строка Знак"/>
    <w:basedOn w:val="af3"/>
    <w:link w:val="af5"/>
    <w:rsid w:val="00DD222D"/>
  </w:style>
  <w:style w:type="paragraph" w:customStyle="1" w:styleId="12">
    <w:name w:val="Без интервала1"/>
    <w:rsid w:val="00DD222D"/>
    <w:pPr>
      <w:jc w:val="left"/>
    </w:pPr>
    <w:rPr>
      <w:rFonts w:eastAsia="Calibri"/>
      <w:sz w:val="20"/>
      <w:szCs w:val="20"/>
      <w:lang w:eastAsia="ru-RU"/>
    </w:rPr>
  </w:style>
  <w:style w:type="paragraph" w:customStyle="1" w:styleId="13">
    <w:name w:val="Абзац списка1"/>
    <w:basedOn w:val="a"/>
    <w:rsid w:val="00DD222D"/>
    <w:pPr>
      <w:ind w:left="720"/>
      <w:contextualSpacing/>
      <w:jc w:val="left"/>
    </w:pPr>
    <w:rPr>
      <w:rFonts w:eastAsia="Century Schoolbook"/>
      <w:sz w:val="20"/>
      <w:szCs w:val="20"/>
      <w:lang w:eastAsia="ru-RU"/>
    </w:rPr>
  </w:style>
  <w:style w:type="paragraph" w:styleId="23">
    <w:name w:val="Body Text Indent 2"/>
    <w:basedOn w:val="a"/>
    <w:link w:val="24"/>
    <w:rsid w:val="00DD222D"/>
    <w:pPr>
      <w:spacing w:after="120" w:line="480" w:lineRule="auto"/>
      <w:ind w:left="283"/>
      <w:jc w:val="left"/>
    </w:pPr>
    <w:rPr>
      <w:rFonts w:eastAsia="Times New Roman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DD222D"/>
    <w:rPr>
      <w:rFonts w:eastAsia="Times New Roman"/>
      <w:sz w:val="22"/>
      <w:szCs w:val="20"/>
    </w:rPr>
  </w:style>
  <w:style w:type="paragraph" w:customStyle="1" w:styleId="220">
    <w:name w:val="Основной текст с отступом 22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styleId="af7">
    <w:name w:val="Emphasis"/>
    <w:qFormat/>
    <w:rsid w:val="00DD222D"/>
    <w:rPr>
      <w:i/>
      <w:iCs/>
    </w:rPr>
  </w:style>
  <w:style w:type="paragraph" w:customStyle="1" w:styleId="xl26">
    <w:name w:val="xl26"/>
    <w:basedOn w:val="a"/>
    <w:rsid w:val="00DD22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30">
    <w:name w:val="Основной текст с отступом 23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customStyle="1" w:styleId="af8">
    <w:name w:val="Основной текст_"/>
    <w:link w:val="14"/>
    <w:rsid w:val="00DD222D"/>
    <w:rPr>
      <w:rFonts w:eastAsia="Times New Roman"/>
      <w:sz w:val="22"/>
      <w:szCs w:val="22"/>
      <w:shd w:val="clear" w:color="auto" w:fill="FFFFFF"/>
    </w:rPr>
  </w:style>
  <w:style w:type="character" w:customStyle="1" w:styleId="Tahoma10pt">
    <w:name w:val="Основной текст + Tahoma;10 pt;Курсив"/>
    <w:rsid w:val="00DD222D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DD222D"/>
    <w:rPr>
      <w:rFonts w:eastAsia="Times New Roman"/>
      <w:spacing w:val="1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D222D"/>
    <w:pPr>
      <w:widowControl w:val="0"/>
      <w:shd w:val="clear" w:color="auto" w:fill="FFFFFF"/>
      <w:spacing w:before="240" w:line="414" w:lineRule="exact"/>
      <w:jc w:val="left"/>
    </w:pPr>
    <w:rPr>
      <w:rFonts w:eastAsia="Times New Roman"/>
      <w:sz w:val="22"/>
      <w:szCs w:val="22"/>
    </w:rPr>
  </w:style>
  <w:style w:type="paragraph" w:customStyle="1" w:styleId="26">
    <w:name w:val="Основной текст (2)"/>
    <w:basedOn w:val="a"/>
    <w:link w:val="25"/>
    <w:rsid w:val="00DD222D"/>
    <w:pPr>
      <w:widowControl w:val="0"/>
      <w:shd w:val="clear" w:color="auto" w:fill="FFFFFF"/>
      <w:spacing w:before="420" w:line="230" w:lineRule="exact"/>
      <w:jc w:val="left"/>
    </w:pPr>
    <w:rPr>
      <w:rFonts w:eastAsia="Times New Roman"/>
      <w:spacing w:val="1"/>
      <w:sz w:val="19"/>
      <w:szCs w:val="19"/>
    </w:rPr>
  </w:style>
  <w:style w:type="character" w:customStyle="1" w:styleId="af">
    <w:name w:val="Без интервала Знак"/>
    <w:basedOn w:val="a0"/>
    <w:link w:val="ae"/>
    <w:uiPriority w:val="1"/>
    <w:rsid w:val="00DD222D"/>
    <w:rPr>
      <w:rFonts w:ascii="Calibri" w:eastAsia="Times New Roman" w:hAnsi="Calibri"/>
      <w:szCs w:val="32"/>
      <w:lang w:val="en-US" w:bidi="en-US"/>
    </w:rPr>
  </w:style>
  <w:style w:type="paragraph" w:customStyle="1" w:styleId="240">
    <w:name w:val="Основной текст с отступом 24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font5">
    <w:name w:val="font5"/>
    <w:basedOn w:val="a"/>
    <w:rsid w:val="007E6690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E669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4">
    <w:name w:val="xl6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E6690"/>
    <w:pPr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8">
    <w:name w:val="xl78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E66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E66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E66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E66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E66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E66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10280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cp:lastPrinted>2019-04-24T08:02:00Z</cp:lastPrinted>
  <dcterms:created xsi:type="dcterms:W3CDTF">2021-04-27T08:36:00Z</dcterms:created>
  <dcterms:modified xsi:type="dcterms:W3CDTF">2021-04-28T14:10:00Z</dcterms:modified>
</cp:coreProperties>
</file>