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10" w:rsidRDefault="00DA2E10" w:rsidP="00DA2E1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A2E10" w:rsidRDefault="00DA2E10" w:rsidP="00DA2E1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DA2E10" w:rsidRDefault="00F30D5B" w:rsidP="00DA2E10">
      <w:pPr>
        <w:jc w:val="center"/>
        <w:rPr>
          <w:b/>
          <w:spacing w:val="20"/>
          <w:sz w:val="32"/>
        </w:rPr>
      </w:pPr>
      <w:r w:rsidRPr="00F30D5B">
        <w:rPr>
          <w:noProof/>
        </w:rPr>
        <w:pict>
          <v:line id="_x0000_s1026" style="position:absolute;left:0;text-align:left;z-index:251660288" from="4.05pt,5.85pt" to="450.5pt,5.9pt" strokeweight="2pt">
            <v:stroke startarrowwidth="narrow" startarrowlength="short" endarrowwidth="narrow" endarrowlength="short"/>
          </v:line>
        </w:pict>
      </w:r>
    </w:p>
    <w:p w:rsidR="00DA2E10" w:rsidRDefault="00DA2E10" w:rsidP="00DA2E10">
      <w:pPr>
        <w:pStyle w:val="3"/>
      </w:pPr>
      <w:r>
        <w:t>постановление</w:t>
      </w:r>
    </w:p>
    <w:p w:rsidR="00DA2E10" w:rsidRDefault="00DA2E10" w:rsidP="00DA2E10">
      <w:pPr>
        <w:jc w:val="center"/>
        <w:rPr>
          <w:sz w:val="24"/>
        </w:rPr>
      </w:pPr>
    </w:p>
    <w:p w:rsidR="00DA2E10" w:rsidRDefault="00DA2E10" w:rsidP="00DA2E10">
      <w:pPr>
        <w:jc w:val="center"/>
        <w:rPr>
          <w:sz w:val="24"/>
        </w:rPr>
      </w:pPr>
      <w:r>
        <w:rPr>
          <w:sz w:val="24"/>
        </w:rPr>
        <w:t>от 24/12/2020 № 2602</w:t>
      </w:r>
    </w:p>
    <w:p w:rsidR="00DA2E10" w:rsidRPr="008004D6" w:rsidRDefault="00DA2E10" w:rsidP="00DA2E10">
      <w:pPr>
        <w:rPr>
          <w:sz w:val="10"/>
          <w:szCs w:val="10"/>
        </w:rPr>
      </w:pPr>
    </w:p>
    <w:p w:rsidR="00DA2E10" w:rsidRPr="005239A4" w:rsidRDefault="00DA2E10" w:rsidP="00DA2E10">
      <w:pPr>
        <w:rPr>
          <w:sz w:val="24"/>
          <w:szCs w:val="24"/>
        </w:rPr>
      </w:pPr>
      <w:r w:rsidRPr="005239A4">
        <w:rPr>
          <w:sz w:val="24"/>
          <w:szCs w:val="24"/>
        </w:rPr>
        <w:t>Об утверждении Правил осуществления</w:t>
      </w:r>
    </w:p>
    <w:p w:rsidR="00DA2E10" w:rsidRPr="005239A4" w:rsidRDefault="00DA2E10" w:rsidP="00DA2E10">
      <w:pPr>
        <w:rPr>
          <w:sz w:val="24"/>
          <w:szCs w:val="24"/>
        </w:rPr>
      </w:pPr>
      <w:r w:rsidRPr="005239A4">
        <w:rPr>
          <w:sz w:val="24"/>
          <w:szCs w:val="24"/>
        </w:rPr>
        <w:t>мониторинга закупок товаров, работ,</w:t>
      </w:r>
    </w:p>
    <w:p w:rsidR="00DA2E10" w:rsidRPr="005239A4" w:rsidRDefault="00DA2E10" w:rsidP="00DA2E10">
      <w:pPr>
        <w:rPr>
          <w:sz w:val="24"/>
          <w:szCs w:val="24"/>
        </w:rPr>
      </w:pPr>
      <w:r w:rsidRPr="005239A4">
        <w:rPr>
          <w:sz w:val="24"/>
          <w:szCs w:val="24"/>
        </w:rPr>
        <w:t>услуг для обеспечения муниципальных</w:t>
      </w:r>
    </w:p>
    <w:p w:rsidR="00DA2E10" w:rsidRPr="005239A4" w:rsidRDefault="00DA2E10" w:rsidP="00DA2E10">
      <w:pPr>
        <w:rPr>
          <w:sz w:val="24"/>
          <w:szCs w:val="24"/>
        </w:rPr>
      </w:pPr>
      <w:r w:rsidRPr="005239A4">
        <w:rPr>
          <w:sz w:val="24"/>
          <w:szCs w:val="24"/>
        </w:rPr>
        <w:t>нужд муниципального образования</w:t>
      </w:r>
    </w:p>
    <w:p w:rsidR="00DA2E10" w:rsidRPr="005239A4" w:rsidRDefault="00DA2E10" w:rsidP="00DA2E10">
      <w:pPr>
        <w:rPr>
          <w:sz w:val="24"/>
          <w:szCs w:val="24"/>
        </w:rPr>
      </w:pPr>
      <w:r w:rsidRPr="005239A4">
        <w:rPr>
          <w:sz w:val="24"/>
          <w:szCs w:val="24"/>
        </w:rPr>
        <w:t xml:space="preserve">Сосновоборский городской округ </w:t>
      </w:r>
    </w:p>
    <w:p w:rsidR="00DA2E10" w:rsidRDefault="00DA2E10" w:rsidP="00DA2E10">
      <w:pPr>
        <w:rPr>
          <w:sz w:val="24"/>
          <w:szCs w:val="24"/>
        </w:rPr>
      </w:pPr>
    </w:p>
    <w:p w:rsidR="00DA2E10" w:rsidRDefault="00DA2E10" w:rsidP="00DA2E10">
      <w:pPr>
        <w:rPr>
          <w:sz w:val="24"/>
          <w:szCs w:val="24"/>
        </w:rPr>
      </w:pPr>
    </w:p>
    <w:p w:rsidR="00DA2E10" w:rsidRPr="005239A4" w:rsidRDefault="00DA2E10" w:rsidP="00DA2E10">
      <w:pPr>
        <w:rPr>
          <w:sz w:val="24"/>
          <w:szCs w:val="24"/>
        </w:rPr>
      </w:pPr>
    </w:p>
    <w:p w:rsidR="00DA2E10" w:rsidRDefault="00DA2E10" w:rsidP="00DA2E10">
      <w:pPr>
        <w:ind w:firstLine="709"/>
        <w:jc w:val="both"/>
        <w:rPr>
          <w:sz w:val="24"/>
          <w:szCs w:val="24"/>
        </w:rPr>
      </w:pPr>
      <w:r w:rsidRPr="005239A4">
        <w:rPr>
          <w:sz w:val="24"/>
          <w:szCs w:val="24"/>
        </w:rPr>
        <w:t>В соответствии с ч. 8 ст. 97 Федерального закона от 05.04.2013 № 44-ФЗ</w:t>
      </w:r>
      <w:r>
        <w:rPr>
          <w:sz w:val="24"/>
          <w:szCs w:val="24"/>
        </w:rPr>
        <w:t xml:space="preserve">                   </w:t>
      </w:r>
      <w:r w:rsidRPr="005239A4">
        <w:rPr>
          <w:sz w:val="24"/>
          <w:szCs w:val="24"/>
        </w:rPr>
        <w:t>«О контрактной системе в сфере закупок товаров, работ, услуг для обеспечения</w:t>
      </w:r>
      <w:r>
        <w:rPr>
          <w:sz w:val="24"/>
          <w:szCs w:val="24"/>
        </w:rPr>
        <w:t xml:space="preserve"> </w:t>
      </w:r>
      <w:r w:rsidRPr="005239A4">
        <w:rPr>
          <w:sz w:val="24"/>
          <w:szCs w:val="24"/>
        </w:rPr>
        <w:t>государственных и муниципальных нужд»</w:t>
      </w:r>
      <w:r>
        <w:rPr>
          <w:sz w:val="24"/>
          <w:szCs w:val="24"/>
        </w:rPr>
        <w:t xml:space="preserve"> и </w:t>
      </w:r>
      <w:r w:rsidRPr="005239A4">
        <w:rPr>
          <w:sz w:val="24"/>
          <w:szCs w:val="24"/>
        </w:rPr>
        <w:t>постановлени</w:t>
      </w:r>
      <w:r>
        <w:rPr>
          <w:sz w:val="24"/>
          <w:szCs w:val="24"/>
        </w:rPr>
        <w:t>ем</w:t>
      </w:r>
      <w:r w:rsidRPr="005239A4">
        <w:rPr>
          <w:sz w:val="24"/>
          <w:szCs w:val="24"/>
        </w:rPr>
        <w:t xml:space="preserve"> Правительства Российской Федерации от 03.11.2015 №</w:t>
      </w:r>
      <w:r>
        <w:rPr>
          <w:sz w:val="24"/>
          <w:szCs w:val="24"/>
        </w:rPr>
        <w:t xml:space="preserve"> </w:t>
      </w:r>
      <w:r w:rsidRPr="005239A4">
        <w:rPr>
          <w:sz w:val="24"/>
          <w:szCs w:val="24"/>
        </w:rPr>
        <w:t>1193 «О мониторинге закупок товаров, работ, услуг для обеспечения государственных и муниципальных нужд», в целях осуществления мониторинга закупок товаров, работ, услуг для обеспечения муниципальных нужд муниципального образования Сосновоборский городско</w:t>
      </w:r>
      <w:r>
        <w:rPr>
          <w:sz w:val="24"/>
          <w:szCs w:val="24"/>
        </w:rPr>
        <w:t xml:space="preserve">й округ, </w:t>
      </w:r>
      <w:r w:rsidRPr="005239A4">
        <w:rPr>
          <w:sz w:val="24"/>
          <w:szCs w:val="24"/>
        </w:rPr>
        <w:t xml:space="preserve">руководствуясь Уставом муниципального образования Сосновоборский городской округ, администрация Сосновоборского городского округа </w:t>
      </w:r>
      <w:r w:rsidRPr="005239A4">
        <w:rPr>
          <w:b/>
          <w:sz w:val="24"/>
          <w:szCs w:val="24"/>
        </w:rPr>
        <w:t>п о с т а н о в л я е т:</w:t>
      </w:r>
      <w:r w:rsidRPr="005239A4">
        <w:rPr>
          <w:sz w:val="24"/>
          <w:szCs w:val="24"/>
        </w:rPr>
        <w:t xml:space="preserve"> </w:t>
      </w:r>
    </w:p>
    <w:p w:rsidR="00DA2E10" w:rsidRPr="00A92BE6" w:rsidRDefault="00DA2E10" w:rsidP="00DA2E10">
      <w:pPr>
        <w:ind w:firstLine="709"/>
        <w:jc w:val="both"/>
        <w:rPr>
          <w:b/>
          <w:sz w:val="24"/>
          <w:szCs w:val="24"/>
        </w:rPr>
      </w:pPr>
    </w:p>
    <w:p w:rsidR="00DA2E10" w:rsidRPr="005239A4" w:rsidRDefault="00DA2E10" w:rsidP="00DA2E10">
      <w:pPr>
        <w:pStyle w:val="a7"/>
        <w:numPr>
          <w:ilvl w:val="0"/>
          <w:numId w:val="4"/>
        </w:numPr>
        <w:tabs>
          <w:tab w:val="left" w:pos="0"/>
          <w:tab w:val="left" w:pos="993"/>
        </w:tabs>
        <w:ind w:left="0" w:firstLine="567"/>
        <w:jc w:val="both"/>
        <w:rPr>
          <w:sz w:val="24"/>
          <w:szCs w:val="24"/>
        </w:rPr>
      </w:pPr>
      <w:r w:rsidRPr="005239A4">
        <w:rPr>
          <w:sz w:val="24"/>
          <w:szCs w:val="24"/>
        </w:rPr>
        <w:t>Утвердить Правила осуществления мониторинга закупок товаров, работ, услуг</w:t>
      </w:r>
      <w:r>
        <w:rPr>
          <w:sz w:val="24"/>
          <w:szCs w:val="24"/>
        </w:rPr>
        <w:t xml:space="preserve"> </w:t>
      </w:r>
      <w:r w:rsidRPr="005239A4">
        <w:rPr>
          <w:sz w:val="24"/>
          <w:szCs w:val="24"/>
        </w:rPr>
        <w:t>для обеспечения муниципальных нужд муниципального образования Сосновоборский городской округ</w:t>
      </w:r>
      <w:r>
        <w:rPr>
          <w:sz w:val="24"/>
          <w:szCs w:val="24"/>
        </w:rPr>
        <w:t xml:space="preserve"> </w:t>
      </w:r>
      <w:r w:rsidRPr="005239A4">
        <w:rPr>
          <w:sz w:val="24"/>
          <w:szCs w:val="24"/>
        </w:rPr>
        <w:t>Ленинградской области, согласно приложению</w:t>
      </w:r>
      <w:r>
        <w:rPr>
          <w:sz w:val="24"/>
          <w:szCs w:val="24"/>
        </w:rPr>
        <w:t xml:space="preserve"> к настоящему постановлению</w:t>
      </w:r>
      <w:r w:rsidRPr="005239A4">
        <w:rPr>
          <w:sz w:val="24"/>
          <w:szCs w:val="24"/>
        </w:rPr>
        <w:t>.</w:t>
      </w:r>
    </w:p>
    <w:p w:rsidR="00DA2E10" w:rsidRPr="00141E1A" w:rsidRDefault="00DA2E10" w:rsidP="00DA2E10">
      <w:pPr>
        <w:pStyle w:val="a7"/>
        <w:numPr>
          <w:ilvl w:val="0"/>
          <w:numId w:val="4"/>
        </w:numPr>
        <w:tabs>
          <w:tab w:val="left" w:pos="426"/>
          <w:tab w:val="left" w:pos="993"/>
        </w:tabs>
        <w:ind w:left="0" w:firstLine="567"/>
        <w:jc w:val="both"/>
        <w:rPr>
          <w:sz w:val="24"/>
          <w:szCs w:val="24"/>
        </w:rPr>
      </w:pPr>
      <w:r w:rsidRPr="0018186F">
        <w:rPr>
          <w:sz w:val="24"/>
          <w:szCs w:val="24"/>
        </w:rPr>
        <w:t>Общему отделу администрации</w:t>
      </w:r>
      <w:r>
        <w:rPr>
          <w:sz w:val="24"/>
          <w:szCs w:val="24"/>
        </w:rPr>
        <w:t xml:space="preserve"> (Смолкина М.С.) </w:t>
      </w:r>
      <w:r w:rsidRPr="0018186F">
        <w:rPr>
          <w:sz w:val="24"/>
          <w:szCs w:val="24"/>
        </w:rPr>
        <w:t>обнародовать настоящее постановление на электронном сайте городской газеты «Маяк»</w:t>
      </w:r>
      <w:r w:rsidRPr="00141E1A">
        <w:rPr>
          <w:sz w:val="24"/>
          <w:szCs w:val="24"/>
        </w:rPr>
        <w:t>.</w:t>
      </w:r>
    </w:p>
    <w:p w:rsidR="00DA2E10" w:rsidRPr="005239A4" w:rsidRDefault="00DA2E10" w:rsidP="00DA2E10">
      <w:pPr>
        <w:pStyle w:val="a7"/>
        <w:numPr>
          <w:ilvl w:val="0"/>
          <w:numId w:val="4"/>
        </w:numPr>
        <w:tabs>
          <w:tab w:val="left" w:pos="426"/>
          <w:tab w:val="left" w:pos="993"/>
        </w:tabs>
        <w:ind w:left="0" w:firstLine="567"/>
        <w:jc w:val="both"/>
        <w:rPr>
          <w:sz w:val="24"/>
          <w:szCs w:val="24"/>
        </w:rPr>
      </w:pPr>
      <w:r w:rsidRPr="0018186F">
        <w:rPr>
          <w:sz w:val="24"/>
          <w:szCs w:val="24"/>
        </w:rPr>
        <w:t>Отделу по связям с общественностью (пресс-центр) Комитета по общественной безопасности и информации</w:t>
      </w:r>
      <w:r>
        <w:rPr>
          <w:sz w:val="24"/>
          <w:szCs w:val="24"/>
        </w:rPr>
        <w:t xml:space="preserve"> (Никитина В.Г.) р</w:t>
      </w:r>
      <w:r w:rsidRPr="0018186F">
        <w:rPr>
          <w:sz w:val="24"/>
          <w:szCs w:val="24"/>
        </w:rPr>
        <w:t>азместить настоящее постановление на официальном сайте Сосновоборского городского округа</w:t>
      </w:r>
      <w:r w:rsidRPr="005239A4">
        <w:rPr>
          <w:sz w:val="24"/>
          <w:szCs w:val="24"/>
        </w:rPr>
        <w:t xml:space="preserve">. </w:t>
      </w:r>
    </w:p>
    <w:p w:rsidR="00DA2E10" w:rsidRPr="005239A4" w:rsidRDefault="00DA2E10" w:rsidP="00DA2E10">
      <w:pPr>
        <w:pStyle w:val="a7"/>
        <w:numPr>
          <w:ilvl w:val="0"/>
          <w:numId w:val="4"/>
        </w:numPr>
        <w:tabs>
          <w:tab w:val="left" w:pos="1134"/>
        </w:tabs>
        <w:ind w:left="0" w:firstLine="567"/>
        <w:jc w:val="both"/>
        <w:rPr>
          <w:sz w:val="24"/>
          <w:szCs w:val="24"/>
        </w:rPr>
      </w:pPr>
      <w:r>
        <w:rPr>
          <w:sz w:val="24"/>
          <w:szCs w:val="24"/>
        </w:rPr>
        <w:t xml:space="preserve">Настоящее </w:t>
      </w:r>
      <w:r w:rsidRPr="005239A4">
        <w:rPr>
          <w:sz w:val="24"/>
          <w:szCs w:val="24"/>
        </w:rPr>
        <w:t xml:space="preserve">постановление вступает в силу со дня официального обнародования. </w:t>
      </w:r>
    </w:p>
    <w:p w:rsidR="00DA2E10" w:rsidRPr="000D0B6B" w:rsidRDefault="00DA2E10" w:rsidP="00DA2E10">
      <w:pPr>
        <w:pStyle w:val="a7"/>
        <w:numPr>
          <w:ilvl w:val="0"/>
          <w:numId w:val="4"/>
        </w:numPr>
        <w:tabs>
          <w:tab w:val="left" w:pos="426"/>
          <w:tab w:val="left" w:pos="993"/>
        </w:tabs>
        <w:ind w:left="0" w:firstLine="567"/>
        <w:jc w:val="both"/>
        <w:rPr>
          <w:sz w:val="24"/>
          <w:szCs w:val="24"/>
        </w:rPr>
      </w:pPr>
      <w:r w:rsidRPr="000D0B6B">
        <w:rPr>
          <w:sz w:val="24"/>
          <w:szCs w:val="24"/>
        </w:rPr>
        <w:t xml:space="preserve">Контроль за исполнением настоящего постановления возложить на </w:t>
      </w:r>
      <w:r>
        <w:rPr>
          <w:sz w:val="24"/>
          <w:szCs w:val="24"/>
        </w:rPr>
        <w:t xml:space="preserve">первого </w:t>
      </w:r>
      <w:r w:rsidRPr="000D0B6B">
        <w:rPr>
          <w:sz w:val="24"/>
          <w:szCs w:val="24"/>
        </w:rPr>
        <w:t>за</w:t>
      </w:r>
      <w:r>
        <w:rPr>
          <w:sz w:val="24"/>
          <w:szCs w:val="24"/>
        </w:rPr>
        <w:t>местителя  главы администрации Лютикова С.Г.</w:t>
      </w:r>
    </w:p>
    <w:p w:rsidR="00DA2E10" w:rsidRPr="005239A4" w:rsidRDefault="00DA2E10" w:rsidP="00DA2E10">
      <w:pPr>
        <w:ind w:firstLine="567"/>
        <w:jc w:val="both"/>
        <w:rPr>
          <w:sz w:val="24"/>
          <w:szCs w:val="24"/>
        </w:rPr>
      </w:pPr>
    </w:p>
    <w:p w:rsidR="00DA2E10" w:rsidRDefault="00DA2E10" w:rsidP="00DA2E10">
      <w:pPr>
        <w:rPr>
          <w:sz w:val="24"/>
          <w:szCs w:val="24"/>
        </w:rPr>
      </w:pPr>
    </w:p>
    <w:p w:rsidR="00DA2E10" w:rsidRPr="005239A4" w:rsidRDefault="00DA2E10" w:rsidP="00DA2E10">
      <w:pPr>
        <w:rPr>
          <w:sz w:val="24"/>
          <w:szCs w:val="24"/>
        </w:rPr>
      </w:pPr>
    </w:p>
    <w:p w:rsidR="00DA2E10" w:rsidRPr="005239A4" w:rsidRDefault="00DA2E10" w:rsidP="00DA2E10">
      <w:pPr>
        <w:rPr>
          <w:sz w:val="24"/>
          <w:szCs w:val="24"/>
        </w:rPr>
      </w:pPr>
      <w:r w:rsidRPr="005239A4">
        <w:rPr>
          <w:sz w:val="24"/>
          <w:szCs w:val="24"/>
        </w:rPr>
        <w:t xml:space="preserve">Глава Сосновоборского городского округа                       </w:t>
      </w:r>
      <w:r>
        <w:rPr>
          <w:sz w:val="24"/>
          <w:szCs w:val="24"/>
        </w:rPr>
        <w:t xml:space="preserve">                         </w:t>
      </w:r>
      <w:r w:rsidRPr="005239A4">
        <w:rPr>
          <w:sz w:val="24"/>
          <w:szCs w:val="24"/>
        </w:rPr>
        <w:t xml:space="preserve">  М.В.</w:t>
      </w:r>
      <w:r>
        <w:rPr>
          <w:sz w:val="24"/>
          <w:szCs w:val="24"/>
        </w:rPr>
        <w:t xml:space="preserve"> </w:t>
      </w:r>
      <w:r w:rsidRPr="005239A4">
        <w:rPr>
          <w:sz w:val="24"/>
          <w:szCs w:val="24"/>
        </w:rPr>
        <w:t>Воронков</w:t>
      </w: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rPr>
          <w:sz w:val="12"/>
          <w:szCs w:val="12"/>
        </w:rPr>
      </w:pPr>
    </w:p>
    <w:p w:rsidR="00DA2E10" w:rsidRPr="008004D6" w:rsidRDefault="00DA2E10" w:rsidP="00DA2E10">
      <w:pPr>
        <w:pStyle w:val="a8"/>
        <w:jc w:val="both"/>
        <w:rPr>
          <w:b w:val="0"/>
          <w:sz w:val="12"/>
          <w:szCs w:val="12"/>
        </w:rPr>
      </w:pPr>
      <w:r w:rsidRPr="008004D6">
        <w:rPr>
          <w:b w:val="0"/>
          <w:sz w:val="12"/>
          <w:szCs w:val="12"/>
        </w:rPr>
        <w:t xml:space="preserve">Исп. Перфилова А.С..; </w:t>
      </w:r>
    </w:p>
    <w:p w:rsidR="00DA2E10" w:rsidRPr="008004D6" w:rsidRDefault="00DA2E10" w:rsidP="00DA2E10">
      <w:pPr>
        <w:pStyle w:val="a8"/>
        <w:jc w:val="both"/>
        <w:rPr>
          <w:b w:val="0"/>
          <w:sz w:val="12"/>
          <w:szCs w:val="12"/>
        </w:rPr>
      </w:pPr>
      <w:r w:rsidRPr="008004D6">
        <w:rPr>
          <w:b w:val="0"/>
          <w:sz w:val="12"/>
          <w:szCs w:val="12"/>
        </w:rPr>
        <w:t>Тел. 6-28-51</w:t>
      </w:r>
      <w:r>
        <w:rPr>
          <w:b w:val="0"/>
          <w:sz w:val="12"/>
          <w:szCs w:val="12"/>
        </w:rPr>
        <w:t xml:space="preserve"> ЯЕ</w:t>
      </w:r>
    </w:p>
    <w:p w:rsidR="00DA2E10" w:rsidRDefault="00DA2E10" w:rsidP="00DA2E10">
      <w:pPr>
        <w:rPr>
          <w:sz w:val="24"/>
          <w:szCs w:val="24"/>
        </w:rPr>
      </w:pPr>
    </w:p>
    <w:p w:rsidR="00DA2E10" w:rsidRDefault="00DA2E10" w:rsidP="00DA2E10">
      <w:pPr>
        <w:rPr>
          <w:sz w:val="24"/>
          <w:szCs w:val="24"/>
        </w:rPr>
      </w:pPr>
    </w:p>
    <w:p w:rsidR="00DA2E10" w:rsidRDefault="00DA2E10" w:rsidP="00DA2E10">
      <w:pPr>
        <w:rPr>
          <w:sz w:val="24"/>
          <w:szCs w:val="24"/>
        </w:rPr>
      </w:pPr>
    </w:p>
    <w:p w:rsidR="00DA2E10" w:rsidRDefault="00DA2E10" w:rsidP="00DA2E10">
      <w:pPr>
        <w:rPr>
          <w:sz w:val="24"/>
          <w:szCs w:val="24"/>
        </w:rPr>
      </w:pPr>
      <w:r>
        <w:rPr>
          <w:sz w:val="24"/>
          <w:szCs w:val="24"/>
        </w:rPr>
        <w:t>СОГЛАСОВАНО:</w:t>
      </w:r>
    </w:p>
    <w:p w:rsidR="00DA2E10" w:rsidRDefault="00DA2E10" w:rsidP="00DA2E10">
      <w:pPr>
        <w:rPr>
          <w:sz w:val="24"/>
          <w:szCs w:val="24"/>
        </w:rPr>
      </w:pPr>
    </w:p>
    <w:p w:rsidR="00DA2E10" w:rsidRDefault="00DA2E10" w:rsidP="00DA2E10">
      <w:pPr>
        <w:rPr>
          <w:sz w:val="24"/>
          <w:szCs w:val="24"/>
        </w:rPr>
      </w:pPr>
      <w:r>
        <w:rPr>
          <w:noProof/>
        </w:rPr>
        <w:drawing>
          <wp:inline distT="0" distB="0" distL="0" distR="0">
            <wp:extent cx="6162675" cy="4143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62675" cy="4143375"/>
                    </a:xfrm>
                    <a:prstGeom prst="rect">
                      <a:avLst/>
                    </a:prstGeom>
                    <a:noFill/>
                    <a:ln w="9525">
                      <a:noFill/>
                      <a:miter lim="800000"/>
                      <a:headEnd/>
                      <a:tailEnd/>
                    </a:ln>
                  </pic:spPr>
                </pic:pic>
              </a:graphicData>
            </a:graphic>
          </wp:inline>
        </w:drawing>
      </w:r>
    </w:p>
    <w:p w:rsidR="00DA2E10" w:rsidRDefault="00DA2E10" w:rsidP="00DA2E10">
      <w:pPr>
        <w:rPr>
          <w:sz w:val="24"/>
          <w:szCs w:val="24"/>
        </w:rPr>
      </w:pPr>
    </w:p>
    <w:p w:rsidR="00DA2E10" w:rsidRDefault="00DA2E10" w:rsidP="00DA2E10">
      <w:pPr>
        <w:rPr>
          <w:sz w:val="24"/>
          <w:szCs w:val="24"/>
        </w:rPr>
      </w:pPr>
    </w:p>
    <w:p w:rsidR="00DA2E10" w:rsidRDefault="00DA2E10" w:rsidP="00DA2E10">
      <w:pPr>
        <w:rPr>
          <w:sz w:val="24"/>
          <w:szCs w:val="24"/>
        </w:rPr>
      </w:pPr>
    </w:p>
    <w:p w:rsidR="00DA2E10" w:rsidRDefault="00DA2E10" w:rsidP="00DA2E10">
      <w:pPr>
        <w:ind w:left="-567" w:right="-284"/>
        <w:jc w:val="right"/>
        <w:rPr>
          <w:sz w:val="18"/>
          <w:szCs w:val="18"/>
        </w:rPr>
      </w:pPr>
      <w:r w:rsidRPr="000D0B6B">
        <w:rPr>
          <w:sz w:val="18"/>
          <w:szCs w:val="18"/>
        </w:rPr>
        <w:t>Рассылка:</w:t>
      </w:r>
      <w:r>
        <w:rPr>
          <w:sz w:val="18"/>
          <w:szCs w:val="18"/>
        </w:rPr>
        <w:t xml:space="preserve"> </w:t>
      </w:r>
    </w:p>
    <w:p w:rsidR="00DA2E10" w:rsidRPr="00F5105D" w:rsidRDefault="00DA2E10" w:rsidP="00DA2E10">
      <w:pPr>
        <w:ind w:left="-567" w:right="-284"/>
        <w:jc w:val="right"/>
        <w:rPr>
          <w:sz w:val="18"/>
          <w:szCs w:val="18"/>
        </w:rPr>
      </w:pPr>
      <w:r w:rsidRPr="00F5105D">
        <w:rPr>
          <w:sz w:val="18"/>
          <w:szCs w:val="18"/>
        </w:rPr>
        <w:t>ОО, Юр. отдел, ОМЗ, КФ, ЦБ, КО, КУМИ, МКУ "ЦАХО", пресс-центр, прокуратура</w:t>
      </w:r>
    </w:p>
    <w:p w:rsidR="00DA2E10" w:rsidRDefault="00DA2E10" w:rsidP="00DA2E10">
      <w:pPr>
        <w:rPr>
          <w:sz w:val="24"/>
          <w:szCs w:val="24"/>
        </w:rPr>
      </w:pPr>
    </w:p>
    <w:p w:rsidR="00DA2E10" w:rsidRDefault="00DA2E10" w:rsidP="00DA2E10">
      <w:pPr>
        <w:rPr>
          <w:sz w:val="24"/>
          <w:szCs w:val="24"/>
        </w:rPr>
      </w:pPr>
      <w:r>
        <w:rPr>
          <w:sz w:val="24"/>
          <w:szCs w:val="24"/>
        </w:rPr>
        <w:br w:type="page"/>
      </w:r>
    </w:p>
    <w:p w:rsidR="00DA2E10" w:rsidRPr="00955116" w:rsidRDefault="00DA2E10" w:rsidP="00DA2E10">
      <w:pPr>
        <w:pStyle w:val="a8"/>
        <w:ind w:left="2124" w:firstLine="708"/>
        <w:jc w:val="right"/>
        <w:rPr>
          <w:b w:val="0"/>
          <w:sz w:val="24"/>
        </w:rPr>
      </w:pPr>
      <w:r w:rsidRPr="00955116">
        <w:rPr>
          <w:b w:val="0"/>
          <w:sz w:val="24"/>
        </w:rPr>
        <w:lastRenderedPageBreak/>
        <w:t>УТВЕРЖДЕНЫ</w:t>
      </w:r>
    </w:p>
    <w:p w:rsidR="00DA2E10" w:rsidRDefault="00DA2E10" w:rsidP="00DA2E10">
      <w:pPr>
        <w:pStyle w:val="a8"/>
        <w:jc w:val="right"/>
        <w:rPr>
          <w:b w:val="0"/>
          <w:sz w:val="24"/>
        </w:rPr>
      </w:pPr>
      <w:r>
        <w:rPr>
          <w:b w:val="0"/>
          <w:sz w:val="24"/>
        </w:rPr>
        <w:t>постановлением администрации</w:t>
      </w:r>
    </w:p>
    <w:p w:rsidR="00DA2E10" w:rsidRDefault="00DA2E10" w:rsidP="00DA2E10">
      <w:pPr>
        <w:pStyle w:val="a8"/>
        <w:ind w:left="4236" w:firstLine="84"/>
        <w:jc w:val="right"/>
        <w:rPr>
          <w:b w:val="0"/>
          <w:sz w:val="24"/>
        </w:rPr>
      </w:pPr>
      <w:r>
        <w:rPr>
          <w:b w:val="0"/>
          <w:sz w:val="24"/>
        </w:rPr>
        <w:t xml:space="preserve">          Сосновоборского городского округа</w:t>
      </w:r>
    </w:p>
    <w:p w:rsidR="00DA2E10" w:rsidRPr="003E4540" w:rsidRDefault="00DA2E10" w:rsidP="00DA2E10">
      <w:pPr>
        <w:pStyle w:val="a8"/>
        <w:ind w:left="4248" w:firstLine="708"/>
        <w:jc w:val="right"/>
        <w:rPr>
          <w:b w:val="0"/>
          <w:sz w:val="16"/>
          <w:szCs w:val="16"/>
        </w:rPr>
      </w:pPr>
    </w:p>
    <w:p w:rsidR="00DA2E10" w:rsidRDefault="00DA2E10" w:rsidP="00DA2E10">
      <w:pPr>
        <w:jc w:val="right"/>
        <w:rPr>
          <w:sz w:val="24"/>
          <w:szCs w:val="24"/>
        </w:rPr>
      </w:pPr>
      <w:r>
        <w:rPr>
          <w:sz w:val="24"/>
        </w:rPr>
        <w:t>от 24/12/2020 № 2602</w:t>
      </w:r>
    </w:p>
    <w:p w:rsidR="00DA2E10" w:rsidRDefault="00DA2E10" w:rsidP="00DA2E10">
      <w:pPr>
        <w:ind w:left="5670"/>
        <w:jc w:val="right"/>
        <w:rPr>
          <w:sz w:val="24"/>
          <w:szCs w:val="24"/>
        </w:rPr>
      </w:pPr>
    </w:p>
    <w:p w:rsidR="00DA2E10" w:rsidRPr="005239A4" w:rsidRDefault="00DA2E10" w:rsidP="00DA2E10">
      <w:pPr>
        <w:ind w:left="5670"/>
        <w:jc w:val="right"/>
        <w:rPr>
          <w:sz w:val="24"/>
          <w:szCs w:val="24"/>
        </w:rPr>
      </w:pPr>
      <w:r>
        <w:rPr>
          <w:sz w:val="24"/>
          <w:szCs w:val="24"/>
        </w:rPr>
        <w:t>(Приложение)</w:t>
      </w:r>
    </w:p>
    <w:p w:rsidR="00DA2E10" w:rsidRPr="005239A4" w:rsidRDefault="00DA2E10" w:rsidP="00DA2E10">
      <w:pPr>
        <w:ind w:left="5670"/>
        <w:rPr>
          <w:sz w:val="24"/>
          <w:szCs w:val="24"/>
        </w:rPr>
      </w:pPr>
    </w:p>
    <w:p w:rsidR="00DA2E10" w:rsidRPr="005239A4" w:rsidRDefault="00DA2E10" w:rsidP="00DA2E10">
      <w:pPr>
        <w:jc w:val="center"/>
        <w:rPr>
          <w:sz w:val="24"/>
          <w:szCs w:val="24"/>
        </w:rPr>
      </w:pPr>
      <w:r w:rsidRPr="005239A4">
        <w:rPr>
          <w:sz w:val="24"/>
          <w:szCs w:val="24"/>
        </w:rPr>
        <w:t>ПРАВИЛА</w:t>
      </w:r>
    </w:p>
    <w:p w:rsidR="00DA2E10" w:rsidRPr="005239A4" w:rsidRDefault="00DA2E10" w:rsidP="00DA2E10">
      <w:pPr>
        <w:jc w:val="center"/>
        <w:rPr>
          <w:sz w:val="24"/>
          <w:szCs w:val="24"/>
        </w:rPr>
      </w:pPr>
      <w:r w:rsidRPr="005239A4">
        <w:rPr>
          <w:sz w:val="24"/>
          <w:szCs w:val="24"/>
        </w:rPr>
        <w:t>осуществления мониторинга закупок товаров, работ, услуг для</w:t>
      </w:r>
    </w:p>
    <w:p w:rsidR="00DA2E10" w:rsidRPr="005239A4" w:rsidRDefault="00DA2E10" w:rsidP="00DA2E10">
      <w:pPr>
        <w:jc w:val="center"/>
        <w:rPr>
          <w:sz w:val="24"/>
          <w:szCs w:val="24"/>
        </w:rPr>
      </w:pPr>
      <w:r w:rsidRPr="005239A4">
        <w:rPr>
          <w:sz w:val="24"/>
          <w:szCs w:val="24"/>
        </w:rPr>
        <w:t>обеспечения муниципальных нужд муниципального образования</w:t>
      </w:r>
    </w:p>
    <w:p w:rsidR="00DA2E10" w:rsidRPr="005239A4" w:rsidRDefault="00DA2E10" w:rsidP="00DA2E10">
      <w:pPr>
        <w:jc w:val="center"/>
        <w:rPr>
          <w:sz w:val="24"/>
          <w:szCs w:val="24"/>
        </w:rPr>
      </w:pPr>
      <w:r w:rsidRPr="005239A4">
        <w:rPr>
          <w:sz w:val="24"/>
          <w:szCs w:val="24"/>
        </w:rPr>
        <w:t>Сосновоборский городской округ Ленинградской области</w:t>
      </w:r>
    </w:p>
    <w:p w:rsidR="00DA2E10" w:rsidRPr="005239A4" w:rsidRDefault="00DA2E10" w:rsidP="00DA2E10">
      <w:pPr>
        <w:jc w:val="center"/>
        <w:rPr>
          <w:sz w:val="24"/>
          <w:szCs w:val="24"/>
        </w:rPr>
      </w:pPr>
    </w:p>
    <w:p w:rsidR="00DA2E10" w:rsidRPr="000D0B6B" w:rsidRDefault="00DA2E10" w:rsidP="00DA2E10">
      <w:pPr>
        <w:pStyle w:val="a7"/>
        <w:numPr>
          <w:ilvl w:val="0"/>
          <w:numId w:val="1"/>
        </w:numPr>
        <w:tabs>
          <w:tab w:val="left" w:pos="284"/>
        </w:tabs>
        <w:ind w:left="0" w:firstLine="0"/>
        <w:jc w:val="both"/>
        <w:rPr>
          <w:sz w:val="24"/>
          <w:szCs w:val="24"/>
        </w:rPr>
      </w:pPr>
      <w:r w:rsidRPr="005239A4">
        <w:rPr>
          <w:sz w:val="24"/>
          <w:szCs w:val="24"/>
        </w:rPr>
        <w:t>Настоящие Правила устанавливают порядок осуществления мониторинга</w:t>
      </w:r>
      <w:r>
        <w:rPr>
          <w:sz w:val="24"/>
          <w:szCs w:val="24"/>
        </w:rPr>
        <w:t xml:space="preserve"> </w:t>
      </w:r>
      <w:r w:rsidRPr="000D0B6B">
        <w:rPr>
          <w:sz w:val="24"/>
          <w:szCs w:val="24"/>
        </w:rPr>
        <w:t>закупок товаров, работ, услуг для обеспечения муниципальных нужд (далее - мониторинг)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w:t>
      </w:r>
    </w:p>
    <w:p w:rsidR="00DA2E10" w:rsidRPr="005239A4" w:rsidRDefault="00DA2E10" w:rsidP="00DA2E10">
      <w:pPr>
        <w:tabs>
          <w:tab w:val="left" w:pos="284"/>
        </w:tabs>
        <w:rPr>
          <w:sz w:val="24"/>
          <w:szCs w:val="24"/>
        </w:rPr>
      </w:pPr>
    </w:p>
    <w:p w:rsidR="00DA2E10" w:rsidRDefault="00DA2E10" w:rsidP="00DA2E10">
      <w:pPr>
        <w:pStyle w:val="a7"/>
        <w:numPr>
          <w:ilvl w:val="0"/>
          <w:numId w:val="1"/>
        </w:numPr>
        <w:tabs>
          <w:tab w:val="left" w:pos="284"/>
        </w:tabs>
        <w:ind w:left="0" w:firstLine="0"/>
        <w:jc w:val="both"/>
        <w:rPr>
          <w:sz w:val="24"/>
          <w:szCs w:val="24"/>
        </w:rPr>
      </w:pPr>
      <w:r w:rsidRPr="005239A4">
        <w:rPr>
          <w:sz w:val="24"/>
          <w:szCs w:val="24"/>
        </w:rPr>
        <w:t>Настоящие Правила применяются к закупкам органов местного</w:t>
      </w:r>
      <w:r>
        <w:rPr>
          <w:sz w:val="24"/>
          <w:szCs w:val="24"/>
        </w:rPr>
        <w:t xml:space="preserve"> </w:t>
      </w:r>
      <w:r w:rsidRPr="005239A4">
        <w:rPr>
          <w:sz w:val="24"/>
          <w:szCs w:val="24"/>
        </w:rPr>
        <w:t>самоуправления Сосновоборский городской округ Ленинградской области и подведомственных им муниципальных бюджетных учреждений, а в случаях, предусмотренных частями 1, 4, 5 и 6 статьи 15 Федерального закона, также к закупкам муниципальных автономных учреждений, муниципальных унитарных предприятий н к закупкам иных получателей средств бюджета муниципального образования Сосновоборский городской округ Ленинградской области (далее - заказчики).</w:t>
      </w:r>
    </w:p>
    <w:p w:rsidR="00DA2E10" w:rsidRPr="005239A4" w:rsidRDefault="00DA2E10" w:rsidP="00DA2E10">
      <w:pPr>
        <w:pStyle w:val="a7"/>
        <w:tabs>
          <w:tab w:val="left" w:pos="284"/>
        </w:tabs>
        <w:ind w:left="0"/>
        <w:jc w:val="both"/>
        <w:rPr>
          <w:sz w:val="24"/>
          <w:szCs w:val="24"/>
        </w:rPr>
      </w:pPr>
    </w:p>
    <w:p w:rsidR="00DA2E10" w:rsidRDefault="00DA2E10" w:rsidP="00DA2E10">
      <w:pPr>
        <w:pStyle w:val="a7"/>
        <w:numPr>
          <w:ilvl w:val="0"/>
          <w:numId w:val="1"/>
        </w:numPr>
        <w:tabs>
          <w:tab w:val="left" w:pos="284"/>
        </w:tabs>
        <w:ind w:left="0" w:firstLine="0"/>
        <w:jc w:val="both"/>
        <w:rPr>
          <w:sz w:val="24"/>
          <w:szCs w:val="24"/>
        </w:rPr>
      </w:pPr>
      <w:r w:rsidRPr="005239A4">
        <w:rPr>
          <w:sz w:val="24"/>
          <w:szCs w:val="24"/>
        </w:rPr>
        <w:t>Мониторинг обеспечивается отделом муниципального заказа администрации муниципального образования Сосновоборский городской округ Ленинградской области, осуществляющим полномочия по организации мониторинга закупок в муниципальном образовании Сосновоборский городской округ (далее -уполномоченный орган), с использованием единой информационной системы в сфере закупок (далее - ЕИС ).</w:t>
      </w:r>
    </w:p>
    <w:p w:rsidR="00DA2E10" w:rsidRPr="005239A4" w:rsidRDefault="00DA2E10" w:rsidP="00DA2E10">
      <w:pPr>
        <w:pStyle w:val="a7"/>
        <w:tabs>
          <w:tab w:val="left" w:pos="284"/>
        </w:tabs>
        <w:ind w:left="0"/>
        <w:jc w:val="both"/>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Мониторинг закупок осуществляется посредством сбора, обобщения, систематизации и оценки следующей информации:</w:t>
      </w:r>
    </w:p>
    <w:p w:rsidR="00DA2E10" w:rsidRPr="005239A4" w:rsidRDefault="00DA2E10" w:rsidP="00DA2E10">
      <w:pPr>
        <w:pStyle w:val="a7"/>
        <w:numPr>
          <w:ilvl w:val="1"/>
          <w:numId w:val="1"/>
        </w:numPr>
        <w:tabs>
          <w:tab w:val="left" w:pos="284"/>
        </w:tabs>
        <w:ind w:left="0" w:firstLine="0"/>
        <w:jc w:val="both"/>
        <w:rPr>
          <w:sz w:val="24"/>
          <w:szCs w:val="24"/>
        </w:rPr>
      </w:pPr>
      <w:r w:rsidRPr="005239A4">
        <w:rPr>
          <w:sz w:val="24"/>
          <w:szCs w:val="24"/>
        </w:rPr>
        <w:t>Об осуществлении закупок, в том числе:</w:t>
      </w:r>
    </w:p>
    <w:p w:rsidR="00DA2E10" w:rsidRPr="005239A4" w:rsidRDefault="00DA2E10" w:rsidP="00DA2E10">
      <w:pPr>
        <w:pStyle w:val="a7"/>
        <w:numPr>
          <w:ilvl w:val="0"/>
          <w:numId w:val="2"/>
        </w:numPr>
        <w:tabs>
          <w:tab w:val="left" w:pos="284"/>
        </w:tabs>
        <w:ind w:left="0" w:firstLine="0"/>
        <w:jc w:val="both"/>
        <w:rPr>
          <w:sz w:val="24"/>
          <w:szCs w:val="24"/>
        </w:rPr>
      </w:pPr>
      <w:r w:rsidRPr="005239A4">
        <w:rPr>
          <w:sz w:val="24"/>
          <w:szCs w:val="24"/>
        </w:rPr>
        <w:t>о количестве размещенных извещений об осуществлении закупок, о суммарном значении начальных (максимальных) цен контрактов (далее - НМЦК), в том числе с разбивкой по способам определения поставщика (подрядчика, исполнителя);</w:t>
      </w:r>
    </w:p>
    <w:p w:rsidR="00DA2E10" w:rsidRPr="005239A4" w:rsidRDefault="00DA2E10" w:rsidP="00DA2E10">
      <w:pPr>
        <w:pStyle w:val="a7"/>
        <w:numPr>
          <w:ilvl w:val="0"/>
          <w:numId w:val="2"/>
        </w:numPr>
        <w:tabs>
          <w:tab w:val="left" w:pos="284"/>
        </w:tabs>
        <w:ind w:left="0" w:firstLine="0"/>
        <w:jc w:val="both"/>
        <w:rPr>
          <w:sz w:val="24"/>
          <w:szCs w:val="24"/>
        </w:rPr>
      </w:pPr>
      <w:r w:rsidRPr="005239A4">
        <w:rPr>
          <w:sz w:val="24"/>
          <w:szCs w:val="24"/>
        </w:rPr>
        <w:t>о количестве состоявшихся процедур, о суммарном значении НМЦК, указанных в извещениях о проведении таких процедур, в том числе с разбивкой по способам определения поставщика (подрядчика, исполнителя);</w:t>
      </w:r>
    </w:p>
    <w:p w:rsidR="00DA2E10" w:rsidRPr="005239A4" w:rsidRDefault="00DA2E10" w:rsidP="00DA2E10">
      <w:pPr>
        <w:pStyle w:val="a7"/>
        <w:numPr>
          <w:ilvl w:val="0"/>
          <w:numId w:val="2"/>
        </w:numPr>
        <w:tabs>
          <w:tab w:val="left" w:pos="284"/>
        </w:tabs>
        <w:ind w:left="0" w:firstLine="0"/>
        <w:jc w:val="both"/>
        <w:rPr>
          <w:sz w:val="24"/>
          <w:szCs w:val="24"/>
        </w:rPr>
      </w:pPr>
      <w:r w:rsidRPr="005239A4">
        <w:rPr>
          <w:sz w:val="24"/>
          <w:szCs w:val="24"/>
        </w:rPr>
        <w:t>о количестве процедур, признанных несостоявшимися, которые не привели к заключению контракта, и о суммарном значении их НМЦК, в том числе с разбивкой по способам определения поставщика (подрядчика, исполнителя);</w:t>
      </w:r>
    </w:p>
    <w:p w:rsidR="00DA2E10" w:rsidRPr="005239A4" w:rsidRDefault="00DA2E10" w:rsidP="00DA2E10">
      <w:pPr>
        <w:pStyle w:val="a7"/>
        <w:numPr>
          <w:ilvl w:val="0"/>
          <w:numId w:val="2"/>
        </w:numPr>
        <w:tabs>
          <w:tab w:val="left" w:pos="284"/>
        </w:tabs>
        <w:ind w:left="0" w:firstLine="0"/>
        <w:jc w:val="both"/>
        <w:rPr>
          <w:sz w:val="24"/>
          <w:szCs w:val="24"/>
        </w:rPr>
      </w:pPr>
      <w:r w:rsidRPr="005239A4">
        <w:rPr>
          <w:sz w:val="24"/>
          <w:szCs w:val="24"/>
        </w:rPr>
        <w:t>о количестве процедур, признанных несостоявшимися, приведших к заключению контракта с единственным участником, и о суммарном значении их НМЦК, в том числе с разбивкой по способам определения поставщика (подрядчика, исполнителя);</w:t>
      </w:r>
    </w:p>
    <w:p w:rsidR="00DA2E10" w:rsidRPr="005239A4" w:rsidRDefault="00DA2E10" w:rsidP="00DA2E10">
      <w:pPr>
        <w:pStyle w:val="a7"/>
        <w:numPr>
          <w:ilvl w:val="1"/>
          <w:numId w:val="1"/>
        </w:numPr>
        <w:tabs>
          <w:tab w:val="left" w:pos="284"/>
        </w:tabs>
        <w:ind w:left="0" w:firstLine="0"/>
        <w:jc w:val="both"/>
        <w:rPr>
          <w:sz w:val="24"/>
          <w:szCs w:val="24"/>
        </w:rPr>
      </w:pPr>
      <w:r w:rsidRPr="005239A4">
        <w:rPr>
          <w:sz w:val="24"/>
          <w:szCs w:val="24"/>
        </w:rPr>
        <w:t>О заключении контрактов, в том числе:</w:t>
      </w:r>
    </w:p>
    <w:p w:rsidR="00DA2E10" w:rsidRPr="005239A4" w:rsidRDefault="00DA2E10" w:rsidP="00DA2E10">
      <w:pPr>
        <w:pStyle w:val="a7"/>
        <w:numPr>
          <w:ilvl w:val="0"/>
          <w:numId w:val="3"/>
        </w:numPr>
        <w:tabs>
          <w:tab w:val="left" w:pos="284"/>
        </w:tabs>
        <w:ind w:left="0" w:firstLine="0"/>
        <w:jc w:val="both"/>
        <w:rPr>
          <w:sz w:val="24"/>
          <w:szCs w:val="24"/>
        </w:rPr>
      </w:pPr>
      <w:r w:rsidRPr="005239A4">
        <w:rPr>
          <w:sz w:val="24"/>
          <w:szCs w:val="24"/>
        </w:rPr>
        <w:lastRenderedPageBreak/>
        <w:t>о количестве и общей стоимости контрактов, заключенных заказчиками по результатам состоявшихся процедур, в том числе с разбивкой по способам определения поставщика (подрядчика, исполнителя);</w:t>
      </w:r>
    </w:p>
    <w:p w:rsidR="00DA2E10" w:rsidRPr="005239A4" w:rsidRDefault="00DA2E10" w:rsidP="00DA2E10">
      <w:pPr>
        <w:pStyle w:val="a7"/>
        <w:numPr>
          <w:ilvl w:val="0"/>
          <w:numId w:val="3"/>
        </w:numPr>
        <w:tabs>
          <w:tab w:val="left" w:pos="284"/>
        </w:tabs>
        <w:ind w:left="0" w:firstLine="0"/>
        <w:jc w:val="both"/>
        <w:rPr>
          <w:sz w:val="24"/>
          <w:szCs w:val="24"/>
        </w:rPr>
      </w:pPr>
      <w:r w:rsidRPr="005239A4">
        <w:rPr>
          <w:sz w:val="24"/>
          <w:szCs w:val="24"/>
        </w:rPr>
        <w:t>о количестве и общей стоимости контрактов, заключенных заказчиками по результатам закупки у единственного участника, в том числе с разбивкой по способам определения поставщика (подрядчика, исполнителя);</w:t>
      </w:r>
    </w:p>
    <w:p w:rsidR="00DA2E10" w:rsidRPr="005239A4" w:rsidRDefault="00DA2E10" w:rsidP="00DA2E10">
      <w:pPr>
        <w:pStyle w:val="a7"/>
        <w:numPr>
          <w:ilvl w:val="0"/>
          <w:numId w:val="3"/>
        </w:numPr>
        <w:tabs>
          <w:tab w:val="left" w:pos="284"/>
        </w:tabs>
        <w:ind w:left="0" w:firstLine="0"/>
        <w:jc w:val="both"/>
        <w:rPr>
          <w:sz w:val="24"/>
          <w:szCs w:val="24"/>
        </w:rPr>
      </w:pPr>
      <w:r w:rsidRPr="005239A4">
        <w:rPr>
          <w:sz w:val="24"/>
          <w:szCs w:val="24"/>
        </w:rPr>
        <w:t>о количестве и общей стоимости контрактов, заключенных заказчиками по результатам закупки у единственного поставщика;</w:t>
      </w:r>
    </w:p>
    <w:p w:rsidR="00DA2E10" w:rsidRDefault="00DA2E10" w:rsidP="00DA2E10">
      <w:pPr>
        <w:pStyle w:val="a7"/>
        <w:numPr>
          <w:ilvl w:val="0"/>
          <w:numId w:val="3"/>
        </w:numPr>
        <w:tabs>
          <w:tab w:val="left" w:pos="284"/>
        </w:tabs>
        <w:ind w:left="0" w:firstLine="0"/>
        <w:jc w:val="both"/>
        <w:rPr>
          <w:sz w:val="24"/>
          <w:szCs w:val="24"/>
        </w:rPr>
      </w:pPr>
      <w:r w:rsidRPr="005239A4">
        <w:rPr>
          <w:sz w:val="24"/>
          <w:szCs w:val="24"/>
        </w:rPr>
        <w:t>о количестве и общей стоимости контрактов, которые были расторгнуты в соответствии с Федеральным законом, в том числе с разбивкой по основаниям.</w:t>
      </w:r>
    </w:p>
    <w:p w:rsidR="00DA2E10" w:rsidRPr="005239A4" w:rsidRDefault="00DA2E10" w:rsidP="00DA2E10">
      <w:pPr>
        <w:pStyle w:val="a7"/>
        <w:tabs>
          <w:tab w:val="left" w:pos="284"/>
        </w:tabs>
        <w:ind w:left="0"/>
        <w:jc w:val="both"/>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Для мониторинга деятельности заказчиков используются показатели,</w:t>
      </w:r>
      <w:r>
        <w:rPr>
          <w:sz w:val="24"/>
          <w:szCs w:val="24"/>
        </w:rPr>
        <w:t xml:space="preserve"> </w:t>
      </w:r>
      <w:r w:rsidRPr="005239A4">
        <w:rPr>
          <w:sz w:val="24"/>
          <w:szCs w:val="24"/>
        </w:rPr>
        <w:t>предусмотренные в таблицах, являющихся приложением к настоящим Правилам</w:t>
      </w:r>
      <w:r>
        <w:rPr>
          <w:sz w:val="24"/>
          <w:szCs w:val="24"/>
        </w:rPr>
        <w:t xml:space="preserve"> </w:t>
      </w:r>
      <w:r w:rsidRPr="005239A4">
        <w:rPr>
          <w:sz w:val="24"/>
          <w:szCs w:val="24"/>
        </w:rPr>
        <w:t>(далее - показатели оценки).</w:t>
      </w:r>
    </w:p>
    <w:p w:rsidR="00DA2E10" w:rsidRPr="005239A4" w:rsidRDefault="00DA2E10" w:rsidP="00DA2E10">
      <w:pPr>
        <w:tabs>
          <w:tab w:val="left" w:pos="284"/>
        </w:tabs>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В случае выявления в рамках проводимого мониторинга обстоятельств,</w:t>
      </w:r>
      <w:r>
        <w:rPr>
          <w:sz w:val="24"/>
          <w:szCs w:val="24"/>
        </w:rPr>
        <w:t xml:space="preserve"> </w:t>
      </w:r>
      <w:r w:rsidRPr="005239A4">
        <w:rPr>
          <w:sz w:val="24"/>
          <w:szCs w:val="24"/>
        </w:rPr>
        <w:t>свидетельствующих о нарушении требований законодательства о контрактной</w:t>
      </w:r>
      <w:r>
        <w:rPr>
          <w:sz w:val="24"/>
          <w:szCs w:val="24"/>
        </w:rPr>
        <w:t xml:space="preserve"> </w:t>
      </w:r>
      <w:r w:rsidRPr="005239A4">
        <w:rPr>
          <w:sz w:val="24"/>
          <w:szCs w:val="24"/>
        </w:rPr>
        <w:t>системе, в том числе несоблюдении сроков размещения в информационной системе сведений, предусмотренных законодательством о контрактной системе, непринятии мер в отношении исполнителей, подрядчиков, нарушивших сроки исполнения по муниципальному контракту, несвоевременности оплаты принятых по муниципальному контракту работ, уполномоченный орган незамедлительно доводит указанную информацию до главы администрации муниципального образования Сосновоборский городской округ Ленинградской области для решения вопроса о дальнейшем принятии мер в отношении</w:t>
      </w:r>
      <w:r>
        <w:rPr>
          <w:sz w:val="24"/>
          <w:szCs w:val="24"/>
        </w:rPr>
        <w:t xml:space="preserve"> </w:t>
      </w:r>
      <w:r w:rsidRPr="005239A4">
        <w:rPr>
          <w:sz w:val="24"/>
          <w:szCs w:val="24"/>
        </w:rPr>
        <w:t>должностных лиц, допустивших нарушение.</w:t>
      </w:r>
    </w:p>
    <w:p w:rsidR="00DA2E10" w:rsidRPr="005239A4" w:rsidRDefault="00DA2E10" w:rsidP="00DA2E10">
      <w:pPr>
        <w:tabs>
          <w:tab w:val="left" w:pos="284"/>
        </w:tabs>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Мониторинг закупок осуществляется нарастающим итогом за первое</w:t>
      </w:r>
      <w:r>
        <w:rPr>
          <w:sz w:val="24"/>
          <w:szCs w:val="24"/>
        </w:rPr>
        <w:t xml:space="preserve"> </w:t>
      </w:r>
      <w:r w:rsidRPr="005239A4">
        <w:rPr>
          <w:sz w:val="24"/>
          <w:szCs w:val="24"/>
        </w:rPr>
        <w:t>полугодие и год по состоянию на 25 число второго месяца полугодия, следующего за отчетным периодом.</w:t>
      </w:r>
    </w:p>
    <w:p w:rsidR="00DA2E10" w:rsidRPr="005239A4" w:rsidRDefault="00DA2E10" w:rsidP="00DA2E10">
      <w:pPr>
        <w:tabs>
          <w:tab w:val="left" w:pos="284"/>
        </w:tabs>
        <w:rPr>
          <w:sz w:val="24"/>
          <w:szCs w:val="24"/>
        </w:rPr>
      </w:pPr>
    </w:p>
    <w:p w:rsidR="00DA2E10" w:rsidRDefault="00DA2E10" w:rsidP="00DA2E10">
      <w:pPr>
        <w:pStyle w:val="a7"/>
        <w:numPr>
          <w:ilvl w:val="0"/>
          <w:numId w:val="1"/>
        </w:numPr>
        <w:tabs>
          <w:tab w:val="left" w:pos="284"/>
        </w:tabs>
        <w:ind w:left="0" w:firstLine="0"/>
        <w:jc w:val="both"/>
        <w:rPr>
          <w:sz w:val="24"/>
          <w:szCs w:val="24"/>
        </w:rPr>
      </w:pPr>
      <w:r w:rsidRPr="005239A4">
        <w:rPr>
          <w:sz w:val="24"/>
          <w:szCs w:val="24"/>
        </w:rPr>
        <w:t>Результаты мониторинга закупок оформляются в виде отчета о результатах</w:t>
      </w:r>
      <w:r>
        <w:rPr>
          <w:sz w:val="24"/>
          <w:szCs w:val="24"/>
        </w:rPr>
        <w:t xml:space="preserve"> </w:t>
      </w:r>
      <w:r w:rsidRPr="005239A4">
        <w:rPr>
          <w:sz w:val="24"/>
          <w:szCs w:val="24"/>
        </w:rPr>
        <w:t>мониторинга закупок.</w:t>
      </w:r>
    </w:p>
    <w:p w:rsidR="00DA2E10" w:rsidRPr="005239A4" w:rsidRDefault="00DA2E10" w:rsidP="00DA2E10">
      <w:pPr>
        <w:pStyle w:val="a7"/>
        <w:tabs>
          <w:tab w:val="left" w:pos="284"/>
        </w:tabs>
        <w:ind w:left="0"/>
        <w:jc w:val="both"/>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Отчет о результатах мониторинга закупок должен содержать сводную</w:t>
      </w:r>
      <w:r>
        <w:rPr>
          <w:sz w:val="24"/>
          <w:szCs w:val="24"/>
        </w:rPr>
        <w:t xml:space="preserve"> </w:t>
      </w:r>
      <w:r w:rsidRPr="005239A4">
        <w:rPr>
          <w:sz w:val="24"/>
          <w:szCs w:val="24"/>
        </w:rPr>
        <w:t>информацию, указанную в пункте 4 Настоящих Правил, предложения уполномоченного органа (при их наличии) по совершенствованию муниципальных нормативных правовых актов о контрактной системе в сфере закупок.</w:t>
      </w:r>
    </w:p>
    <w:p w:rsidR="00DA2E10" w:rsidRPr="005239A4" w:rsidRDefault="00DA2E10" w:rsidP="00DA2E10">
      <w:pPr>
        <w:tabs>
          <w:tab w:val="left" w:pos="284"/>
        </w:tabs>
        <w:rPr>
          <w:sz w:val="24"/>
          <w:szCs w:val="24"/>
        </w:rPr>
      </w:pPr>
    </w:p>
    <w:p w:rsidR="00DA2E10" w:rsidRPr="005239A4" w:rsidRDefault="00DA2E10" w:rsidP="00DA2E10">
      <w:pPr>
        <w:pStyle w:val="a7"/>
        <w:numPr>
          <w:ilvl w:val="0"/>
          <w:numId w:val="1"/>
        </w:numPr>
        <w:tabs>
          <w:tab w:val="left" w:pos="284"/>
        </w:tabs>
        <w:ind w:left="0" w:firstLine="0"/>
        <w:jc w:val="both"/>
        <w:rPr>
          <w:sz w:val="24"/>
          <w:szCs w:val="24"/>
        </w:rPr>
      </w:pPr>
      <w:r w:rsidRPr="005239A4">
        <w:rPr>
          <w:sz w:val="24"/>
          <w:szCs w:val="24"/>
        </w:rPr>
        <w:t xml:space="preserve">Отчеты о результатах мониторинга закупок размещаютсяуполномоченным органом в информационно-телекоммуникационной сети «Интернет» на сайте муниципального образования не позднее двух недельпо истечении срока, указанного в пункте 7 настоящих Правил. </w:t>
      </w:r>
    </w:p>
    <w:p w:rsidR="00DA2E10" w:rsidRPr="005239A4" w:rsidRDefault="00DA2E10" w:rsidP="00DA2E10">
      <w:pPr>
        <w:rPr>
          <w:sz w:val="24"/>
          <w:szCs w:val="24"/>
        </w:rPr>
      </w:pPr>
    </w:p>
    <w:p w:rsidR="00DA2E10" w:rsidRDefault="00DA2E10" w:rsidP="00DA2E10">
      <w:pPr>
        <w:rPr>
          <w:sz w:val="24"/>
          <w:szCs w:val="24"/>
        </w:rPr>
      </w:pPr>
    </w:p>
    <w:p w:rsidR="00DA2E10" w:rsidRPr="005239A4" w:rsidRDefault="00DA2E10" w:rsidP="00DA2E10">
      <w:pPr>
        <w:rPr>
          <w:sz w:val="24"/>
          <w:szCs w:val="24"/>
        </w:rPr>
      </w:pPr>
    </w:p>
    <w:p w:rsidR="00DA2E10" w:rsidRDefault="00DA2E10" w:rsidP="00DA2E10">
      <w:pPr>
        <w:rPr>
          <w:sz w:val="24"/>
          <w:szCs w:val="24"/>
        </w:rPr>
      </w:pPr>
      <w:r>
        <w:rPr>
          <w:sz w:val="24"/>
          <w:szCs w:val="24"/>
        </w:rPr>
        <w:br w:type="page"/>
      </w:r>
    </w:p>
    <w:p w:rsidR="00DA2E10" w:rsidRPr="005239A4" w:rsidRDefault="00DA2E10" w:rsidP="00DA2E10">
      <w:pPr>
        <w:spacing w:line="240" w:lineRule="exact"/>
        <w:ind w:left="4956"/>
        <w:rPr>
          <w:sz w:val="24"/>
          <w:szCs w:val="24"/>
        </w:rPr>
      </w:pPr>
      <w:r w:rsidRPr="005239A4">
        <w:rPr>
          <w:sz w:val="24"/>
          <w:szCs w:val="24"/>
        </w:rPr>
        <w:lastRenderedPageBreak/>
        <w:t>Приложение к Правилам</w:t>
      </w:r>
    </w:p>
    <w:p w:rsidR="00DA2E10" w:rsidRPr="005239A4" w:rsidRDefault="00DA2E10" w:rsidP="00DA2E10">
      <w:pPr>
        <w:spacing w:line="240" w:lineRule="exact"/>
        <w:ind w:left="4956"/>
        <w:rPr>
          <w:sz w:val="24"/>
          <w:szCs w:val="24"/>
        </w:rPr>
      </w:pPr>
      <w:r w:rsidRPr="005239A4">
        <w:rPr>
          <w:sz w:val="24"/>
          <w:szCs w:val="24"/>
        </w:rPr>
        <w:t>осуществления мониторинга закупок товаров, работ, услуг для</w:t>
      </w:r>
    </w:p>
    <w:p w:rsidR="00DA2E10" w:rsidRPr="005239A4" w:rsidRDefault="00DA2E10" w:rsidP="00DA2E10">
      <w:pPr>
        <w:spacing w:line="240" w:lineRule="exact"/>
        <w:ind w:left="4956"/>
        <w:rPr>
          <w:sz w:val="24"/>
          <w:szCs w:val="24"/>
        </w:rPr>
      </w:pPr>
      <w:r w:rsidRPr="005239A4">
        <w:rPr>
          <w:sz w:val="24"/>
          <w:szCs w:val="24"/>
        </w:rPr>
        <w:t>обеспечения муниципальных нужд муниципального образования</w:t>
      </w:r>
    </w:p>
    <w:p w:rsidR="00DA2E10" w:rsidRDefault="00DA2E10" w:rsidP="00DA2E10">
      <w:pPr>
        <w:spacing w:line="240" w:lineRule="exact"/>
        <w:ind w:left="4956"/>
        <w:rPr>
          <w:sz w:val="24"/>
          <w:szCs w:val="24"/>
        </w:rPr>
      </w:pPr>
      <w:r w:rsidRPr="005239A4">
        <w:rPr>
          <w:sz w:val="24"/>
          <w:szCs w:val="24"/>
        </w:rPr>
        <w:t>Сосновоборский городской округ Ленинградской области</w:t>
      </w:r>
    </w:p>
    <w:p w:rsidR="00DA2E10" w:rsidRPr="005239A4" w:rsidRDefault="00DA2E10" w:rsidP="00DA2E10">
      <w:pPr>
        <w:spacing w:line="240" w:lineRule="exact"/>
        <w:ind w:left="4956"/>
        <w:rPr>
          <w:sz w:val="24"/>
          <w:szCs w:val="24"/>
        </w:rPr>
      </w:pPr>
    </w:p>
    <w:tbl>
      <w:tblPr>
        <w:tblW w:w="0" w:type="auto"/>
        <w:tblCellMar>
          <w:left w:w="0" w:type="dxa"/>
          <w:right w:w="0" w:type="dxa"/>
        </w:tblCellMar>
        <w:tblLook w:val="04A0"/>
      </w:tblPr>
      <w:tblGrid>
        <w:gridCol w:w="692"/>
        <w:gridCol w:w="8281"/>
      </w:tblGrid>
      <w:tr w:rsidR="00DA2E10" w:rsidRPr="005239A4" w:rsidTr="002C5CA2">
        <w:trPr>
          <w:trHeight w:val="15"/>
        </w:trPr>
        <w:tc>
          <w:tcPr>
            <w:tcW w:w="712" w:type="dxa"/>
            <w:hideMark/>
          </w:tcPr>
          <w:p w:rsidR="00DA2E10" w:rsidRPr="005239A4" w:rsidRDefault="00DA2E10" w:rsidP="002C5CA2">
            <w:pPr>
              <w:rPr>
                <w:sz w:val="22"/>
              </w:rPr>
            </w:pPr>
          </w:p>
        </w:tc>
        <w:tc>
          <w:tcPr>
            <w:tcW w:w="9209" w:type="dxa"/>
            <w:hideMark/>
          </w:tcPr>
          <w:p w:rsidR="00DA2E10" w:rsidRPr="005239A4" w:rsidRDefault="00DA2E10" w:rsidP="002C5CA2">
            <w:pPr>
              <w:rPr>
                <w:sz w:val="22"/>
              </w:rPr>
            </w:pP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2C5CA2">
            <w:pPr>
              <w:spacing w:line="315" w:lineRule="atLeast"/>
              <w:jc w:val="center"/>
              <w:textAlignment w:val="baseline"/>
              <w:rPr>
                <w:color w:val="2D2D2D"/>
                <w:sz w:val="22"/>
              </w:rPr>
            </w:pPr>
            <w:r w:rsidRPr="005239A4">
              <w:rPr>
                <w:color w:val="2D2D2D"/>
                <w:sz w:val="22"/>
              </w:rPr>
              <w:t>N п/п</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2C5CA2">
            <w:pPr>
              <w:spacing w:line="315" w:lineRule="atLeast"/>
              <w:jc w:val="center"/>
              <w:textAlignment w:val="baseline"/>
              <w:rPr>
                <w:color w:val="2D2D2D"/>
                <w:sz w:val="22"/>
              </w:rPr>
            </w:pPr>
            <w:r w:rsidRPr="005239A4">
              <w:rPr>
                <w:color w:val="2D2D2D"/>
                <w:sz w:val="22"/>
              </w:rPr>
              <w:t>Показатель оценки</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2C5CA2">
            <w:pPr>
              <w:spacing w:line="315" w:lineRule="atLeast"/>
              <w:jc w:val="center"/>
              <w:textAlignment w:val="baseline"/>
              <w:rPr>
                <w:color w:val="2D2D2D"/>
                <w:sz w:val="22"/>
              </w:rPr>
            </w:pPr>
            <w:r w:rsidRPr="005239A4">
              <w:rPr>
                <w:color w:val="2D2D2D"/>
                <w:sz w:val="22"/>
              </w:rPr>
              <w:t>1</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2C5CA2">
            <w:pPr>
              <w:spacing w:line="315" w:lineRule="atLeast"/>
              <w:jc w:val="center"/>
              <w:textAlignment w:val="baseline"/>
              <w:rPr>
                <w:color w:val="2D2D2D"/>
                <w:sz w:val="22"/>
              </w:rPr>
            </w:pPr>
            <w:r w:rsidRPr="005239A4">
              <w:rPr>
                <w:color w:val="2D2D2D"/>
                <w:sz w:val="22"/>
              </w:rPr>
              <w:t>2</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объявленных процедур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объявленных процедур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3</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не приведших к заключению контракта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4</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не приведших к заключению контракта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5</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не подана ни одна заявка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6</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не подана ни одна заявка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7</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не признана соответствующей ни одна заявка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8</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не признана соответствующей ни одна заявка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9</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подана только одна заявка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10</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процедур, в которых подана только одна заявка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11</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состоявшихся процедур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12</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состоявшихся процедур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13</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несостоявшихся процедур, которые приведут к заключению контракта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14</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несостоявшихся процедур, которые приведут к заключению контракта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15</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Среднее число поданных заявок на участие в процедурах, которые приведут к заключению контракта</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16</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Среднее число допущенных заявок на участие в процедурах, которые приведут к заключению контракта</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17</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заключенных по результатам процедур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18</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заключенных по результатам процедур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19</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заключенных по результатам несостоявшихся процедур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20</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заключенных по результатам несостоявшихся процедур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21</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Экономия средств бюджета по результатам процедур</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22</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договоров, заключенных с единственным поставщиком (по количеству)</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23</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Количество контрактов, договоров, заключенных с единственным поставщиком (по сумме)</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24</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Среднее число поданных заявок на контракт</w:t>
            </w:r>
          </w:p>
        </w:tc>
      </w:tr>
      <w:tr w:rsidR="00DA2E10" w:rsidRPr="005239A4" w:rsidTr="002C5CA2">
        <w:tc>
          <w:tcPr>
            <w:tcW w:w="7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jc w:val="center"/>
              <w:textAlignment w:val="baseline"/>
              <w:rPr>
                <w:color w:val="2D2D2D"/>
                <w:sz w:val="22"/>
              </w:rPr>
            </w:pPr>
            <w:r w:rsidRPr="005239A4">
              <w:rPr>
                <w:color w:val="2D2D2D"/>
                <w:sz w:val="22"/>
              </w:rPr>
              <w:t>25</w:t>
            </w:r>
          </w:p>
        </w:tc>
        <w:tc>
          <w:tcPr>
            <w:tcW w:w="92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A2E10" w:rsidRPr="005239A4" w:rsidRDefault="00DA2E10" w:rsidP="00DA2E10">
            <w:pPr>
              <w:textAlignment w:val="baseline"/>
              <w:rPr>
                <w:color w:val="2D2D2D"/>
                <w:sz w:val="22"/>
              </w:rPr>
            </w:pPr>
            <w:r w:rsidRPr="005239A4">
              <w:rPr>
                <w:color w:val="2D2D2D"/>
                <w:sz w:val="22"/>
              </w:rPr>
              <w:t>Среднее число допущенных заявок на контракт</w:t>
            </w:r>
          </w:p>
        </w:tc>
      </w:tr>
    </w:tbl>
    <w:p w:rsidR="00DA2E10" w:rsidRPr="005239A4" w:rsidRDefault="00DA2E10" w:rsidP="00DA2E10">
      <w:pPr>
        <w:ind w:firstLine="708"/>
        <w:rPr>
          <w:sz w:val="24"/>
          <w:szCs w:val="24"/>
        </w:rPr>
      </w:pPr>
    </w:p>
    <w:p w:rsidR="00DA2E10" w:rsidRDefault="00DA2E10" w:rsidP="00DA2E10">
      <w:pPr>
        <w:jc w:val="center"/>
        <w:rPr>
          <w:sz w:val="24"/>
        </w:rPr>
      </w:pPr>
    </w:p>
    <w:p w:rsidR="00986B56" w:rsidRDefault="00986B56"/>
    <w:sectPr w:rsidR="00986B56"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14" w:rsidRDefault="00B06314" w:rsidP="00DA2E10">
      <w:r>
        <w:separator/>
      </w:r>
    </w:p>
  </w:endnote>
  <w:endnote w:type="continuationSeparator" w:id="1">
    <w:p w:rsidR="00B06314" w:rsidRDefault="00B06314" w:rsidP="00DA2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F8" w:rsidRDefault="00B063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F8" w:rsidRDefault="00B063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F8" w:rsidRDefault="00B063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14" w:rsidRDefault="00B06314" w:rsidP="00DA2E10">
      <w:r>
        <w:separator/>
      </w:r>
    </w:p>
  </w:footnote>
  <w:footnote w:type="continuationSeparator" w:id="1">
    <w:p w:rsidR="00B06314" w:rsidRDefault="00B06314" w:rsidP="00DA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F8" w:rsidRDefault="00B063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63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F8" w:rsidRDefault="00B063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A4A"/>
    <w:multiLevelType w:val="hybridMultilevel"/>
    <w:tmpl w:val="B468991E"/>
    <w:lvl w:ilvl="0" w:tplc="9A2E4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B74D54"/>
    <w:multiLevelType w:val="multilevel"/>
    <w:tmpl w:val="2BA49A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9D763C"/>
    <w:multiLevelType w:val="hybridMultilevel"/>
    <w:tmpl w:val="1F26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0B3A41"/>
    <w:multiLevelType w:val="hybridMultilevel"/>
    <w:tmpl w:val="97EA7FB6"/>
    <w:lvl w:ilvl="0" w:tplc="9A2E4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8ce4bfee-a088-42b7-bcc9-32ad4f825644"/>
  </w:docVars>
  <w:rsids>
    <w:rsidRoot w:val="00DA2E10"/>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631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72F4D"/>
    <w:rsid w:val="00DA2E10"/>
    <w:rsid w:val="00DA5A23"/>
    <w:rsid w:val="00DA72CC"/>
    <w:rsid w:val="00E047A5"/>
    <w:rsid w:val="00E30882"/>
    <w:rsid w:val="00E4356E"/>
    <w:rsid w:val="00E76055"/>
    <w:rsid w:val="00EA152B"/>
    <w:rsid w:val="00EA1CBD"/>
    <w:rsid w:val="00EA7161"/>
    <w:rsid w:val="00EB7828"/>
    <w:rsid w:val="00EC0342"/>
    <w:rsid w:val="00EC1329"/>
    <w:rsid w:val="00ED74E4"/>
    <w:rsid w:val="00EE30B6"/>
    <w:rsid w:val="00EE389E"/>
    <w:rsid w:val="00EF25CE"/>
    <w:rsid w:val="00EF6872"/>
    <w:rsid w:val="00F00BAF"/>
    <w:rsid w:val="00F30D5B"/>
    <w:rsid w:val="00F37141"/>
    <w:rsid w:val="00F40E67"/>
    <w:rsid w:val="00F52D90"/>
    <w:rsid w:val="00F61776"/>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1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A2E1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2E1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DA2E10"/>
    <w:pPr>
      <w:tabs>
        <w:tab w:val="center" w:pos="4677"/>
        <w:tab w:val="right" w:pos="9355"/>
      </w:tabs>
    </w:pPr>
  </w:style>
  <w:style w:type="character" w:customStyle="1" w:styleId="a4">
    <w:name w:val="Верхний колонтитул Знак"/>
    <w:basedOn w:val="a0"/>
    <w:link w:val="a3"/>
    <w:uiPriority w:val="99"/>
    <w:semiHidden/>
    <w:rsid w:val="00DA2E1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A2E10"/>
    <w:pPr>
      <w:tabs>
        <w:tab w:val="center" w:pos="4677"/>
        <w:tab w:val="right" w:pos="9355"/>
      </w:tabs>
    </w:pPr>
  </w:style>
  <w:style w:type="character" w:customStyle="1" w:styleId="a6">
    <w:name w:val="Нижний колонтитул Знак"/>
    <w:basedOn w:val="a0"/>
    <w:link w:val="a5"/>
    <w:uiPriority w:val="99"/>
    <w:semiHidden/>
    <w:rsid w:val="00DA2E10"/>
    <w:rPr>
      <w:rFonts w:ascii="Times New Roman" w:eastAsia="Times New Roman" w:hAnsi="Times New Roman" w:cs="Times New Roman"/>
      <w:sz w:val="20"/>
      <w:szCs w:val="20"/>
      <w:lang w:eastAsia="ru-RU"/>
    </w:rPr>
  </w:style>
  <w:style w:type="paragraph" w:styleId="a7">
    <w:name w:val="List Paragraph"/>
    <w:basedOn w:val="a"/>
    <w:uiPriority w:val="34"/>
    <w:qFormat/>
    <w:rsid w:val="00DA2E10"/>
    <w:pPr>
      <w:ind w:left="720"/>
      <w:contextualSpacing/>
    </w:pPr>
  </w:style>
  <w:style w:type="paragraph" w:styleId="a8">
    <w:name w:val="Title"/>
    <w:basedOn w:val="a"/>
    <w:link w:val="a9"/>
    <w:qFormat/>
    <w:rsid w:val="00DA2E10"/>
    <w:pPr>
      <w:jc w:val="center"/>
    </w:pPr>
    <w:rPr>
      <w:b/>
      <w:bCs/>
      <w:sz w:val="40"/>
      <w:szCs w:val="24"/>
    </w:rPr>
  </w:style>
  <w:style w:type="character" w:customStyle="1" w:styleId="a9">
    <w:name w:val="Название Знак"/>
    <w:basedOn w:val="a0"/>
    <w:link w:val="a8"/>
    <w:rsid w:val="00DA2E10"/>
    <w:rPr>
      <w:rFonts w:ascii="Times New Roman" w:eastAsia="Times New Roman" w:hAnsi="Times New Roman" w:cs="Times New Roman"/>
      <w:b/>
      <w:bCs/>
      <w:sz w:val="40"/>
      <w:szCs w:val="24"/>
      <w:lang w:eastAsia="ru-RU"/>
    </w:rPr>
  </w:style>
  <w:style w:type="paragraph" w:styleId="aa">
    <w:name w:val="Balloon Text"/>
    <w:basedOn w:val="a"/>
    <w:link w:val="ab"/>
    <w:uiPriority w:val="99"/>
    <w:semiHidden/>
    <w:unhideWhenUsed/>
    <w:rsid w:val="00EA152B"/>
    <w:rPr>
      <w:rFonts w:ascii="Tahoma" w:hAnsi="Tahoma" w:cs="Tahoma"/>
      <w:sz w:val="16"/>
      <w:szCs w:val="16"/>
    </w:rPr>
  </w:style>
  <w:style w:type="character" w:customStyle="1" w:styleId="ab">
    <w:name w:val="Текст выноски Знак"/>
    <w:basedOn w:val="a0"/>
    <w:link w:val="aa"/>
    <w:uiPriority w:val="99"/>
    <w:semiHidden/>
    <w:rsid w:val="00EA15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ОМЗ-Перфилова А.С.</cp:lastModifiedBy>
  <cp:revision>2</cp:revision>
  <cp:lastPrinted>2020-12-25T06:41:00Z</cp:lastPrinted>
  <dcterms:created xsi:type="dcterms:W3CDTF">2021-01-13T07:37:00Z</dcterms:created>
  <dcterms:modified xsi:type="dcterms:W3CDTF">2021-01-13T07:37:00Z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8ce4bfee-a088-42b7-bcc9-32ad4f825644</vt:lpwstr>
  </property>
</Properties>
</file>