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28" w:rsidRPr="00D41796" w:rsidRDefault="00D41796" w:rsidP="00D41796">
      <w:pPr>
        <w:pageBreakBefore/>
        <w:jc w:val="right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ПРОЕКТ</w:t>
      </w:r>
    </w:p>
    <w:p w:rsidR="00D41796" w:rsidRPr="00D41796" w:rsidRDefault="00D41796" w:rsidP="00D41796">
      <w:pPr>
        <w:jc w:val="center"/>
        <w:rPr>
          <w:b/>
          <w:sz w:val="24"/>
          <w:szCs w:val="24"/>
        </w:rPr>
      </w:pPr>
    </w:p>
    <w:p w:rsidR="009C4AF0" w:rsidRPr="00D41796" w:rsidRDefault="00416628" w:rsidP="00416628">
      <w:pPr>
        <w:jc w:val="center"/>
        <w:rPr>
          <w:b/>
          <w:sz w:val="24"/>
          <w:szCs w:val="24"/>
        </w:rPr>
      </w:pPr>
      <w:r w:rsidRPr="00D41796">
        <w:rPr>
          <w:b/>
          <w:sz w:val="24"/>
          <w:szCs w:val="24"/>
        </w:rPr>
        <w:t>Администрация</w:t>
      </w:r>
    </w:p>
    <w:p w:rsidR="009C4AF0" w:rsidRPr="00D41796" w:rsidRDefault="009C4AF0" w:rsidP="00416628">
      <w:pPr>
        <w:jc w:val="center"/>
        <w:rPr>
          <w:b/>
          <w:sz w:val="24"/>
          <w:szCs w:val="24"/>
        </w:rPr>
      </w:pPr>
      <w:r w:rsidRPr="00D41796">
        <w:rPr>
          <w:b/>
          <w:sz w:val="24"/>
          <w:szCs w:val="24"/>
        </w:rPr>
        <w:t>Сосновоборского городского округа</w:t>
      </w:r>
    </w:p>
    <w:p w:rsidR="009C4AF0" w:rsidRPr="00D41796" w:rsidRDefault="009C4AF0" w:rsidP="009C4AF0">
      <w:pPr>
        <w:jc w:val="both"/>
        <w:rPr>
          <w:b/>
          <w:sz w:val="24"/>
        </w:rPr>
      </w:pPr>
    </w:p>
    <w:p w:rsidR="009C4AF0" w:rsidRPr="00D41796" w:rsidRDefault="009C4AF0" w:rsidP="009C4AF0">
      <w:pPr>
        <w:jc w:val="both"/>
        <w:rPr>
          <w:b/>
          <w:sz w:val="24"/>
          <w:szCs w:val="24"/>
        </w:rPr>
      </w:pPr>
    </w:p>
    <w:p w:rsidR="009C4AF0" w:rsidRPr="00D41796" w:rsidRDefault="009C4AF0" w:rsidP="009C4AF0">
      <w:pPr>
        <w:jc w:val="both"/>
        <w:rPr>
          <w:b/>
          <w:sz w:val="24"/>
          <w:szCs w:val="24"/>
        </w:rPr>
      </w:pPr>
    </w:p>
    <w:p w:rsidR="009C4AF0" w:rsidRPr="00D41796" w:rsidRDefault="009C4AF0" w:rsidP="009C4AF0">
      <w:pPr>
        <w:jc w:val="both"/>
        <w:rPr>
          <w:b/>
          <w:sz w:val="24"/>
          <w:szCs w:val="24"/>
        </w:rPr>
      </w:pPr>
    </w:p>
    <w:p w:rsidR="009C4AF0" w:rsidRPr="00D41796" w:rsidRDefault="009C4AF0" w:rsidP="009C4AF0">
      <w:pPr>
        <w:jc w:val="both"/>
        <w:rPr>
          <w:b/>
          <w:sz w:val="24"/>
          <w:szCs w:val="24"/>
        </w:rPr>
      </w:pPr>
    </w:p>
    <w:p w:rsidR="00416628" w:rsidRPr="00D41796" w:rsidRDefault="00416628" w:rsidP="009C4AF0">
      <w:pPr>
        <w:jc w:val="both"/>
        <w:rPr>
          <w:b/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D41796" w:rsidRDefault="009C4AF0" w:rsidP="009C4AF0">
      <w:pPr>
        <w:rPr>
          <w:sz w:val="24"/>
          <w:szCs w:val="24"/>
        </w:rPr>
      </w:pPr>
    </w:p>
    <w:p w:rsidR="009C4AF0" w:rsidRPr="00D41796" w:rsidRDefault="00D41796" w:rsidP="009C4AF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П</w:t>
      </w:r>
      <w:r w:rsidR="009C4AF0" w:rsidRPr="00D41796">
        <w:rPr>
          <w:b/>
          <w:sz w:val="28"/>
          <w:szCs w:val="28"/>
        </w:rPr>
        <w:t>рогноз</w:t>
      </w:r>
    </w:p>
    <w:p w:rsidR="009C4AF0" w:rsidRPr="00D41796" w:rsidRDefault="009C4AF0" w:rsidP="009C4AF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социально-экономического развития</w:t>
      </w:r>
    </w:p>
    <w:p w:rsidR="009C4AF0" w:rsidRPr="00D41796" w:rsidRDefault="009C4AF0" w:rsidP="009C4AF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Сосновоборского городского округа</w:t>
      </w:r>
    </w:p>
    <w:p w:rsidR="009C4AF0" w:rsidRPr="00D41796" w:rsidRDefault="009C4AF0" w:rsidP="009C4AF0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D41796">
        <w:rPr>
          <w:rFonts w:ascii="Times New Roman" w:hAnsi="Times New Roman"/>
          <w:b/>
          <w:sz w:val="28"/>
          <w:szCs w:val="28"/>
        </w:rPr>
        <w:t>на 202</w:t>
      </w:r>
      <w:r w:rsidR="00C67238" w:rsidRPr="00D41796">
        <w:rPr>
          <w:rFonts w:ascii="Times New Roman" w:hAnsi="Times New Roman"/>
          <w:b/>
          <w:sz w:val="28"/>
          <w:szCs w:val="28"/>
        </w:rPr>
        <w:t>1</w:t>
      </w:r>
      <w:r w:rsidRPr="00D41796">
        <w:rPr>
          <w:rFonts w:ascii="Times New Roman" w:hAnsi="Times New Roman"/>
          <w:b/>
          <w:sz w:val="28"/>
          <w:szCs w:val="28"/>
        </w:rPr>
        <w:t>-202</w:t>
      </w:r>
      <w:r w:rsidR="00C67238" w:rsidRPr="00D41796">
        <w:rPr>
          <w:rFonts w:ascii="Times New Roman" w:hAnsi="Times New Roman"/>
          <w:b/>
          <w:sz w:val="28"/>
          <w:szCs w:val="28"/>
        </w:rPr>
        <w:t>3</w:t>
      </w:r>
      <w:r w:rsidRPr="00D4179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D41796" w:rsidRPr="00D41796" w:rsidRDefault="00D41796" w:rsidP="00D41796">
      <w:pPr>
        <w:jc w:val="center"/>
        <w:rPr>
          <w:b/>
          <w:sz w:val="24"/>
          <w:szCs w:val="24"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416628" w:rsidRPr="00D41796" w:rsidRDefault="00416628" w:rsidP="00D41796">
      <w:pPr>
        <w:jc w:val="center"/>
        <w:rPr>
          <w:b/>
          <w:sz w:val="24"/>
          <w:szCs w:val="24"/>
        </w:rPr>
      </w:pPr>
    </w:p>
    <w:p w:rsidR="00416628" w:rsidRPr="00D41796" w:rsidRDefault="00416628" w:rsidP="00D41796">
      <w:pPr>
        <w:jc w:val="center"/>
        <w:rPr>
          <w:b/>
          <w:sz w:val="24"/>
          <w:szCs w:val="24"/>
        </w:rPr>
      </w:pPr>
    </w:p>
    <w:p w:rsidR="00416628" w:rsidRPr="00D41796" w:rsidRDefault="00416628" w:rsidP="00D41796">
      <w:pPr>
        <w:jc w:val="center"/>
        <w:rPr>
          <w:b/>
          <w:sz w:val="24"/>
          <w:szCs w:val="24"/>
        </w:rPr>
      </w:pPr>
    </w:p>
    <w:p w:rsidR="00416628" w:rsidRPr="00D41796" w:rsidRDefault="00416628" w:rsidP="00D41796">
      <w:pPr>
        <w:jc w:val="center"/>
        <w:rPr>
          <w:b/>
          <w:sz w:val="24"/>
          <w:szCs w:val="24"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D41796" w:rsidRDefault="00D41796" w:rsidP="00D41796"/>
    <w:p w:rsidR="00D41796" w:rsidRDefault="00D41796" w:rsidP="00D41796"/>
    <w:p w:rsidR="00D41796" w:rsidRDefault="00D41796" w:rsidP="00D41796"/>
    <w:p w:rsidR="00D41796" w:rsidRDefault="00D41796" w:rsidP="00D41796"/>
    <w:p w:rsidR="00D41796" w:rsidRDefault="00D41796" w:rsidP="00D41796"/>
    <w:p w:rsidR="00D41796" w:rsidRPr="00D41796" w:rsidRDefault="00D41796" w:rsidP="00D41796"/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9C4AF0" w:rsidRPr="00D41796" w:rsidRDefault="009C4AF0" w:rsidP="00D41796">
      <w:pPr>
        <w:jc w:val="center"/>
        <w:rPr>
          <w:b/>
          <w:sz w:val="24"/>
          <w:szCs w:val="24"/>
        </w:rPr>
      </w:pPr>
    </w:p>
    <w:p w:rsidR="009C4AF0" w:rsidRPr="00D41796" w:rsidRDefault="009C4AF0" w:rsidP="00D41796">
      <w:pPr>
        <w:jc w:val="center"/>
        <w:rPr>
          <w:b/>
          <w:sz w:val="24"/>
          <w:szCs w:val="24"/>
        </w:rPr>
      </w:pPr>
    </w:p>
    <w:p w:rsidR="009C4AF0" w:rsidRPr="00D41796" w:rsidRDefault="009C4AF0" w:rsidP="00D41796">
      <w:pPr>
        <w:jc w:val="center"/>
        <w:rPr>
          <w:b/>
          <w:sz w:val="24"/>
          <w:szCs w:val="24"/>
        </w:rPr>
      </w:pPr>
    </w:p>
    <w:p w:rsidR="009C4AF0" w:rsidRPr="00D41796" w:rsidRDefault="009C4AF0" w:rsidP="00D41796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D41796">
        <w:rPr>
          <w:rFonts w:ascii="Times New Roman" w:hAnsi="Times New Roman"/>
          <w:b/>
        </w:rPr>
        <w:t>20</w:t>
      </w:r>
      <w:r w:rsidR="00C67238" w:rsidRPr="00D41796">
        <w:rPr>
          <w:rFonts w:ascii="Times New Roman" w:hAnsi="Times New Roman"/>
          <w:b/>
        </w:rPr>
        <w:t>20</w:t>
      </w:r>
    </w:p>
    <w:p w:rsidR="009C4AF0" w:rsidRPr="00A57B15" w:rsidRDefault="009C4AF0" w:rsidP="009C4AF0">
      <w:pPr>
        <w:pStyle w:val="a7"/>
        <w:pageBreakBefore/>
        <w:spacing w:before="240" w:after="120"/>
        <w:jc w:val="center"/>
        <w:rPr>
          <w:b/>
          <w:caps/>
          <w:sz w:val="28"/>
          <w:szCs w:val="28"/>
        </w:rPr>
      </w:pPr>
      <w:r w:rsidRPr="00A57B15">
        <w:rPr>
          <w:b/>
          <w:caps/>
          <w:sz w:val="28"/>
          <w:szCs w:val="28"/>
        </w:rPr>
        <w:lastRenderedPageBreak/>
        <w:t>СОДЕРЖАние</w:t>
      </w:r>
    </w:p>
    <w:p w:rsidR="00B41C60" w:rsidRDefault="003D68D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4"/>
          <w:szCs w:val="24"/>
        </w:rPr>
        <w:fldChar w:fldCharType="begin"/>
      </w:r>
      <w:r w:rsidR="00BB76B2"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52186968" w:history="1">
        <w:r w:rsidR="00B41C60" w:rsidRPr="00C5364B">
          <w:rPr>
            <w:rStyle w:val="af4"/>
          </w:rPr>
          <w:t>Основные показатели прогноза</w:t>
        </w:r>
        <w:r w:rsidR="00B41C60">
          <w:rPr>
            <w:webHidden/>
          </w:rPr>
          <w:tab/>
        </w:r>
        <w:r w:rsidR="00B41C60">
          <w:rPr>
            <w:webHidden/>
          </w:rPr>
          <w:fldChar w:fldCharType="begin"/>
        </w:r>
        <w:r w:rsidR="00B41C60">
          <w:rPr>
            <w:webHidden/>
          </w:rPr>
          <w:instrText xml:space="preserve"> PAGEREF _Toc52186968 \h </w:instrText>
        </w:r>
        <w:r w:rsidR="00B41C60">
          <w:rPr>
            <w:webHidden/>
          </w:rPr>
        </w:r>
        <w:r w:rsidR="00B41C60">
          <w:rPr>
            <w:webHidden/>
          </w:rPr>
          <w:fldChar w:fldCharType="separate"/>
        </w:r>
        <w:r w:rsidR="00B41C60">
          <w:rPr>
            <w:webHidden/>
          </w:rPr>
          <w:t>3</w:t>
        </w:r>
        <w:r w:rsidR="00B41C60"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69" w:history="1">
        <w:r w:rsidRPr="00C5364B">
          <w:rPr>
            <w:rStyle w:val="af4"/>
          </w:rPr>
          <w:t>Пояснительная записка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70" w:history="1">
        <w:r w:rsidRPr="00C5364B">
          <w:rPr>
            <w:rStyle w:val="af4"/>
          </w:rPr>
          <w:t>1. Общая характеристика муниципального 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71" w:history="1">
        <w:r w:rsidRPr="00C5364B">
          <w:rPr>
            <w:rStyle w:val="af4"/>
          </w:rPr>
          <w:t>2. Демографическая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72" w:history="1">
        <w:r w:rsidRPr="00C5364B">
          <w:rPr>
            <w:rStyle w:val="af4"/>
          </w:rPr>
          <w:t>3. Труд и занятость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73" w:history="1">
        <w:r w:rsidRPr="00C5364B">
          <w:rPr>
            <w:rStyle w:val="af4"/>
          </w:rPr>
          <w:t>4. Градостроительство и землепользование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74" w:history="1">
        <w:r w:rsidRPr="00C5364B">
          <w:rPr>
            <w:rStyle w:val="af4"/>
          </w:rPr>
          <w:t>5. Развитие экономики по отраслям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75" w:history="1">
        <w:r w:rsidRPr="00C5364B">
          <w:rPr>
            <w:rStyle w:val="af4"/>
            <w:noProof/>
          </w:rPr>
          <w:t>5.1.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76" w:history="1">
        <w:r w:rsidRPr="00C5364B">
          <w:rPr>
            <w:rStyle w:val="af4"/>
            <w:noProof/>
          </w:rPr>
          <w:t>5.2. Инвестиции и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77" w:history="1">
        <w:r w:rsidRPr="00C5364B">
          <w:rPr>
            <w:rStyle w:val="af4"/>
            <w:noProof/>
          </w:rPr>
          <w:t>5.3. Жилищно-коммунальная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78" w:history="1">
        <w:r w:rsidRPr="00C5364B">
          <w:rPr>
            <w:rStyle w:val="af4"/>
            <w:noProof/>
          </w:rPr>
          <w:t>5.3.1. Жилищно-коммунальное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79" w:history="1">
        <w:r w:rsidRPr="00C5364B">
          <w:rPr>
            <w:rStyle w:val="af4"/>
            <w:noProof/>
          </w:rPr>
          <w:t>5.3.2. Внешнее благоустройство и дорожное хозяйство.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0" w:history="1">
        <w:r w:rsidRPr="00C5364B">
          <w:rPr>
            <w:rStyle w:val="af4"/>
            <w:noProof/>
          </w:rPr>
          <w:t>5.3.3. Улучшение жилищных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1" w:history="1">
        <w:r w:rsidRPr="00C5364B">
          <w:rPr>
            <w:rStyle w:val="af4"/>
            <w:noProof/>
          </w:rPr>
          <w:t>5.4.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2" w:history="1">
        <w:r w:rsidRPr="00C5364B">
          <w:rPr>
            <w:rStyle w:val="af4"/>
            <w:noProof/>
          </w:rPr>
          <w:t>5.5. Потребительский рынок товаров и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3" w:history="1">
        <w:r w:rsidRPr="00C5364B">
          <w:rPr>
            <w:rStyle w:val="af4"/>
            <w:noProof/>
            <w:snapToGrid w:val="0"/>
          </w:rPr>
          <w:t>5.6. Малое и среднее предпринимательство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84" w:history="1">
        <w:r w:rsidRPr="00C5364B">
          <w:rPr>
            <w:rStyle w:val="af4"/>
          </w:rPr>
          <w:t>6. Развитие социальной сферы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5" w:history="1">
        <w:r w:rsidRPr="00C5364B">
          <w:rPr>
            <w:rStyle w:val="af4"/>
            <w:noProof/>
          </w:rPr>
          <w:t>6.1.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6" w:history="1">
        <w:r w:rsidRPr="00C5364B">
          <w:rPr>
            <w:rStyle w:val="af4"/>
            <w:noProof/>
          </w:rPr>
          <w:t>6.2. Здравоохранение.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7" w:history="1">
        <w:r w:rsidRPr="00C5364B">
          <w:rPr>
            <w:rStyle w:val="af4"/>
            <w:noProof/>
          </w:rPr>
          <w:t>6.3. Социальная защита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8" w:history="1">
        <w:r w:rsidRPr="00C5364B">
          <w:rPr>
            <w:rStyle w:val="af4"/>
            <w:noProof/>
          </w:rPr>
          <w:t>6.4. Культура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89" w:history="1">
        <w:r w:rsidRPr="00C5364B">
          <w:rPr>
            <w:rStyle w:val="af4"/>
            <w:noProof/>
          </w:rPr>
          <w:t>6.5. Физическая культура и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86990" w:history="1">
        <w:r w:rsidRPr="00C5364B">
          <w:rPr>
            <w:rStyle w:val="af4"/>
            <w:noProof/>
          </w:rPr>
          <w:t>6.6. Молодежная 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_Toc52186990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41C60" w:rsidRDefault="00B41C60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2186991" w:history="1">
        <w:r w:rsidRPr="00C5364B">
          <w:rPr>
            <w:rStyle w:val="af4"/>
          </w:rPr>
          <w:t>7. Природопользование и экологическая безопасность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_Toc52186991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C4AF0" w:rsidRPr="00A57B15" w:rsidRDefault="003D68D0" w:rsidP="009C4AF0">
      <w:pPr>
        <w:rPr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2C0C19" w:rsidRPr="00D41796" w:rsidRDefault="002C0C19" w:rsidP="00D41796">
      <w:pPr>
        <w:pStyle w:val="3"/>
        <w:pageBreakBefore/>
        <w:rPr>
          <w:bCs/>
        </w:rPr>
      </w:pPr>
      <w:bookmarkStart w:id="0" w:name="_Toc234897093"/>
      <w:bookmarkStart w:id="1" w:name="_Toc52186968"/>
      <w:r w:rsidRPr="00D41796">
        <w:lastRenderedPageBreak/>
        <w:t>Основные показатели прогноза</w:t>
      </w:r>
      <w:bookmarkEnd w:id="1"/>
    </w:p>
    <w:p w:rsidR="002C0C19" w:rsidRPr="00D41796" w:rsidRDefault="002C0C19" w:rsidP="002C0C19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социально-экономического развития</w:t>
      </w:r>
    </w:p>
    <w:p w:rsidR="002C0C19" w:rsidRPr="00D41796" w:rsidRDefault="002C0C19" w:rsidP="002C0C19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Сосновоборского городского округа</w:t>
      </w:r>
    </w:p>
    <w:p w:rsidR="002C0C19" w:rsidRPr="00D41796" w:rsidRDefault="00D41796" w:rsidP="002C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2C0C19" w:rsidRPr="00D41796">
        <w:rPr>
          <w:b/>
          <w:sz w:val="28"/>
          <w:szCs w:val="28"/>
        </w:rPr>
        <w:t xml:space="preserve"> годы</w:t>
      </w:r>
    </w:p>
    <w:p w:rsidR="002C0C19" w:rsidRPr="00D41796" w:rsidRDefault="002C0C19" w:rsidP="002C0C19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085"/>
        <w:gridCol w:w="1559"/>
        <w:gridCol w:w="1134"/>
        <w:gridCol w:w="1134"/>
        <w:gridCol w:w="993"/>
        <w:gridCol w:w="992"/>
        <w:gridCol w:w="992"/>
      </w:tblGrid>
      <w:tr w:rsidR="002C0C19" w:rsidRPr="00E10690" w:rsidTr="00D41796">
        <w:trPr>
          <w:tblHeader/>
        </w:trPr>
        <w:tc>
          <w:tcPr>
            <w:tcW w:w="3085" w:type="dxa"/>
            <w:vMerge w:val="restart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C0C19" w:rsidRPr="00E10690" w:rsidRDefault="002C0C19" w:rsidP="00D41796">
            <w:pPr>
              <w:jc w:val="center"/>
              <w:rPr>
                <w:bCs/>
                <w:sz w:val="22"/>
                <w:szCs w:val="22"/>
              </w:rPr>
            </w:pPr>
            <w:r w:rsidRPr="00E1069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Отчет </w:t>
            </w:r>
            <w:r w:rsidR="009002C5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Merge w:val="restart"/>
            <w:vAlign w:val="center"/>
          </w:tcPr>
          <w:p w:rsidR="002C0C19" w:rsidRPr="00E10690" w:rsidRDefault="002C0C19" w:rsidP="00D41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Оценка </w:t>
            </w:r>
            <w:r w:rsidR="009002C5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gridSpan w:val="3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Прогноз</w:t>
            </w:r>
          </w:p>
        </w:tc>
      </w:tr>
      <w:tr w:rsidR="002C0C19" w:rsidRPr="00E10690" w:rsidTr="00D41796">
        <w:tc>
          <w:tcPr>
            <w:tcW w:w="3085" w:type="dxa"/>
            <w:vMerge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C0C19" w:rsidRPr="00E10690" w:rsidRDefault="002C0C19" w:rsidP="00D41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0C19" w:rsidRPr="00E10690" w:rsidRDefault="009002C5" w:rsidP="00D41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2C0C19" w:rsidRPr="00E10690" w:rsidRDefault="009002C5" w:rsidP="00D41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2C0C19" w:rsidRPr="00E10690" w:rsidRDefault="009002C5" w:rsidP="00D41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</w:tr>
      <w:tr w:rsidR="002C0C19" w:rsidRPr="00E10690" w:rsidTr="00D41796">
        <w:tc>
          <w:tcPr>
            <w:tcW w:w="3085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7</w:t>
            </w:r>
          </w:p>
        </w:tc>
      </w:tr>
      <w:tr w:rsidR="002C0C19" w:rsidRPr="00E10690" w:rsidTr="00D41796">
        <w:tc>
          <w:tcPr>
            <w:tcW w:w="3085" w:type="dxa"/>
            <w:vMerge w:val="restart"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 постоянного населения на начало</w:t>
            </w:r>
            <w:r w:rsidRPr="00E1069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68344</w:t>
            </w:r>
          </w:p>
        </w:tc>
        <w:tc>
          <w:tcPr>
            <w:tcW w:w="1134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67720</w:t>
            </w:r>
          </w:p>
        </w:tc>
        <w:tc>
          <w:tcPr>
            <w:tcW w:w="993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67414</w:t>
            </w:r>
          </w:p>
        </w:tc>
        <w:tc>
          <w:tcPr>
            <w:tcW w:w="992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67409</w:t>
            </w:r>
          </w:p>
        </w:tc>
        <w:tc>
          <w:tcPr>
            <w:tcW w:w="992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67504</w:t>
            </w:r>
          </w:p>
        </w:tc>
      </w:tr>
      <w:tr w:rsidR="002C0C19" w:rsidRPr="00E10690" w:rsidTr="00D41796">
        <w:tc>
          <w:tcPr>
            <w:tcW w:w="3085" w:type="dxa"/>
            <w:vMerge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2C0C19" w:rsidRPr="00E10690" w:rsidRDefault="00EA40E7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096272" w:rsidRPr="00E10690" w:rsidTr="00D41796">
        <w:tc>
          <w:tcPr>
            <w:tcW w:w="3085" w:type="dxa"/>
            <w:vMerge w:val="restart"/>
            <w:vAlign w:val="center"/>
          </w:tcPr>
          <w:p w:rsidR="00096272" w:rsidRPr="00E10690" w:rsidRDefault="00096272" w:rsidP="00D41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списочного состава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096272" w:rsidRPr="00E10690" w:rsidRDefault="00096272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096272" w:rsidRPr="00096272" w:rsidRDefault="00096272" w:rsidP="00096272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25709</w:t>
            </w:r>
          </w:p>
        </w:tc>
        <w:tc>
          <w:tcPr>
            <w:tcW w:w="1134" w:type="dxa"/>
            <w:vAlign w:val="center"/>
          </w:tcPr>
          <w:p w:rsidR="00096272" w:rsidRPr="00096272" w:rsidRDefault="00096272" w:rsidP="00096272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26301</w:t>
            </w:r>
          </w:p>
        </w:tc>
        <w:tc>
          <w:tcPr>
            <w:tcW w:w="993" w:type="dxa"/>
            <w:vAlign w:val="center"/>
          </w:tcPr>
          <w:p w:rsidR="00096272" w:rsidRPr="00096272" w:rsidRDefault="00096272" w:rsidP="00096272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26327</w:t>
            </w:r>
          </w:p>
        </w:tc>
        <w:tc>
          <w:tcPr>
            <w:tcW w:w="992" w:type="dxa"/>
            <w:vAlign w:val="center"/>
          </w:tcPr>
          <w:p w:rsidR="00096272" w:rsidRPr="00096272" w:rsidRDefault="00096272" w:rsidP="00096272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26354</w:t>
            </w:r>
          </w:p>
        </w:tc>
        <w:tc>
          <w:tcPr>
            <w:tcW w:w="992" w:type="dxa"/>
            <w:vAlign w:val="center"/>
          </w:tcPr>
          <w:p w:rsidR="00096272" w:rsidRPr="00096272" w:rsidRDefault="00096272" w:rsidP="00096272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26380</w:t>
            </w:r>
          </w:p>
        </w:tc>
      </w:tr>
      <w:tr w:rsidR="002C0C19" w:rsidRPr="00E10690" w:rsidTr="00D41796">
        <w:tc>
          <w:tcPr>
            <w:tcW w:w="3085" w:type="dxa"/>
            <w:vMerge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C0C19" w:rsidRPr="00E10690" w:rsidRDefault="008B2355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center"/>
          </w:tcPr>
          <w:p w:rsidR="002C0C19" w:rsidRPr="00E10690" w:rsidRDefault="008B2355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  <w:vAlign w:val="center"/>
          </w:tcPr>
          <w:p w:rsidR="002C0C19" w:rsidRPr="00E10690" w:rsidRDefault="008B2355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2C0C19" w:rsidRPr="00E10690" w:rsidRDefault="008B2355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2C0C19" w:rsidRPr="00E10690" w:rsidRDefault="008B2355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6A5EBA" w:rsidRPr="00E10690" w:rsidTr="00BB76B2">
        <w:tc>
          <w:tcPr>
            <w:tcW w:w="3085" w:type="dxa"/>
            <w:vMerge w:val="restart"/>
            <w:vAlign w:val="center"/>
          </w:tcPr>
          <w:p w:rsidR="006A5EBA" w:rsidRPr="00E10690" w:rsidRDefault="006A5EBA" w:rsidP="00BB76B2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Среднемесячная заработная плата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6A5EBA" w:rsidRPr="00E10690" w:rsidRDefault="006A5EBA" w:rsidP="00BB76B2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6A5EBA" w:rsidRPr="00E10690" w:rsidRDefault="006A5EBA" w:rsidP="00BB7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71211</w:t>
            </w:r>
          </w:p>
        </w:tc>
        <w:tc>
          <w:tcPr>
            <w:tcW w:w="1134" w:type="dxa"/>
            <w:vAlign w:val="center"/>
          </w:tcPr>
          <w:p w:rsidR="006A5EBA" w:rsidRPr="00E10690" w:rsidRDefault="006A5EBA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7519</w:t>
            </w:r>
            <w:r w:rsidR="009268F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6A5EBA" w:rsidRPr="00E10690" w:rsidRDefault="006A5EBA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7971</w:t>
            </w:r>
            <w:r w:rsidR="009268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A5EBA" w:rsidRPr="00E10690" w:rsidRDefault="006A5EBA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84334</w:t>
            </w:r>
          </w:p>
        </w:tc>
        <w:tc>
          <w:tcPr>
            <w:tcW w:w="992" w:type="dxa"/>
            <w:vAlign w:val="center"/>
          </w:tcPr>
          <w:p w:rsidR="006A5EBA" w:rsidRPr="00E10690" w:rsidRDefault="006A5EBA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9006</w:t>
            </w:r>
            <w:r w:rsidR="009268F8">
              <w:rPr>
                <w:color w:val="000000"/>
                <w:sz w:val="22"/>
                <w:szCs w:val="22"/>
              </w:rPr>
              <w:t>9</w:t>
            </w:r>
          </w:p>
        </w:tc>
      </w:tr>
      <w:tr w:rsidR="006A5EBA" w:rsidRPr="00E10690" w:rsidTr="00BB76B2">
        <w:tc>
          <w:tcPr>
            <w:tcW w:w="3085" w:type="dxa"/>
            <w:vMerge/>
            <w:vAlign w:val="center"/>
          </w:tcPr>
          <w:p w:rsidR="006A5EBA" w:rsidRPr="00E10690" w:rsidRDefault="006A5EBA" w:rsidP="00BB76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5EBA" w:rsidRPr="00E10690" w:rsidRDefault="006A5EBA" w:rsidP="00BB76B2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6A5EBA" w:rsidRPr="00E10690" w:rsidRDefault="006A5EBA" w:rsidP="00BB76B2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6A5EBA" w:rsidRPr="00E10690" w:rsidRDefault="00456003" w:rsidP="00BB7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134" w:type="dxa"/>
            <w:vAlign w:val="center"/>
          </w:tcPr>
          <w:p w:rsidR="006A5EBA" w:rsidRPr="00E10690" w:rsidRDefault="00456003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center"/>
          </w:tcPr>
          <w:p w:rsidR="006A5EBA" w:rsidRPr="00E10690" w:rsidRDefault="00456003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92" w:type="dxa"/>
            <w:vAlign w:val="center"/>
          </w:tcPr>
          <w:p w:rsidR="006A5EBA" w:rsidRPr="00E10690" w:rsidRDefault="00456003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  <w:vAlign w:val="center"/>
          </w:tcPr>
          <w:p w:rsidR="006A5EBA" w:rsidRPr="00E10690" w:rsidRDefault="00456003" w:rsidP="00BB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2C0C19" w:rsidRPr="00E10690" w:rsidTr="00D41796">
        <w:tc>
          <w:tcPr>
            <w:tcW w:w="3085" w:type="dxa"/>
            <w:vMerge w:val="restart"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Фонд заработной платы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C0C19" w:rsidRPr="00E10690" w:rsidRDefault="00CB5CFB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24972,6</w:t>
            </w:r>
          </w:p>
        </w:tc>
        <w:tc>
          <w:tcPr>
            <w:tcW w:w="1134" w:type="dxa"/>
            <w:vAlign w:val="center"/>
          </w:tcPr>
          <w:p w:rsidR="002C0C19" w:rsidRPr="00E10690" w:rsidRDefault="002D3F4F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23733,6</w:t>
            </w:r>
          </w:p>
        </w:tc>
        <w:tc>
          <w:tcPr>
            <w:tcW w:w="993" w:type="dxa"/>
            <w:vAlign w:val="center"/>
          </w:tcPr>
          <w:p w:rsidR="002C0C19" w:rsidRPr="00E10690" w:rsidRDefault="0056749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25182,5</w:t>
            </w:r>
          </w:p>
        </w:tc>
        <w:tc>
          <w:tcPr>
            <w:tcW w:w="992" w:type="dxa"/>
            <w:vAlign w:val="center"/>
          </w:tcPr>
          <w:p w:rsidR="002C0C19" w:rsidRPr="00E10690" w:rsidRDefault="008B59A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26670,4</w:t>
            </w:r>
          </w:p>
        </w:tc>
        <w:tc>
          <w:tcPr>
            <w:tcW w:w="992" w:type="dxa"/>
            <w:vAlign w:val="center"/>
          </w:tcPr>
          <w:p w:rsidR="002C0C19" w:rsidRPr="00E10690" w:rsidRDefault="008B59A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28512,1</w:t>
            </w:r>
          </w:p>
        </w:tc>
      </w:tr>
      <w:tr w:rsidR="002C0C19" w:rsidRPr="00E10690" w:rsidTr="00D41796">
        <w:tc>
          <w:tcPr>
            <w:tcW w:w="3085" w:type="dxa"/>
            <w:vMerge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C0C19" w:rsidRPr="00E10690" w:rsidRDefault="00CB5CFB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  <w:vAlign w:val="center"/>
          </w:tcPr>
          <w:p w:rsidR="002C0C19" w:rsidRPr="00E10690" w:rsidRDefault="002D3F4F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vAlign w:val="center"/>
          </w:tcPr>
          <w:p w:rsidR="002C0C19" w:rsidRPr="00E10690" w:rsidRDefault="0056749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center"/>
          </w:tcPr>
          <w:p w:rsidR="002C0C19" w:rsidRPr="00E10690" w:rsidRDefault="008B59A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2" w:type="dxa"/>
            <w:vAlign w:val="center"/>
          </w:tcPr>
          <w:p w:rsidR="002C0C19" w:rsidRPr="00E10690" w:rsidRDefault="008B59A9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2C0C19" w:rsidRPr="00E10690" w:rsidTr="00D41796">
        <w:tc>
          <w:tcPr>
            <w:tcW w:w="3085" w:type="dxa"/>
            <w:vMerge w:val="restart"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Объем отгруженных товаров </w:t>
            </w:r>
            <w:r>
              <w:rPr>
                <w:sz w:val="22"/>
                <w:szCs w:val="22"/>
              </w:rPr>
              <w:t>собственного производства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C0C19" w:rsidRPr="00E10690" w:rsidRDefault="0061518A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137009</w:t>
            </w:r>
          </w:p>
        </w:tc>
        <w:tc>
          <w:tcPr>
            <w:tcW w:w="1134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145026</w:t>
            </w:r>
          </w:p>
        </w:tc>
        <w:tc>
          <w:tcPr>
            <w:tcW w:w="993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164246</w:t>
            </w:r>
          </w:p>
        </w:tc>
        <w:tc>
          <w:tcPr>
            <w:tcW w:w="992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175121</w:t>
            </w:r>
          </w:p>
        </w:tc>
        <w:tc>
          <w:tcPr>
            <w:tcW w:w="992" w:type="dxa"/>
            <w:vAlign w:val="center"/>
          </w:tcPr>
          <w:p w:rsidR="002C0C19" w:rsidRPr="00E10690" w:rsidRDefault="00F944B3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183952</w:t>
            </w:r>
          </w:p>
        </w:tc>
      </w:tr>
      <w:tr w:rsidR="002C0C19" w:rsidRPr="00E10690" w:rsidTr="00D41796">
        <w:tc>
          <w:tcPr>
            <w:tcW w:w="3085" w:type="dxa"/>
            <w:vMerge/>
            <w:vAlign w:val="center"/>
          </w:tcPr>
          <w:p w:rsidR="002C0C19" w:rsidRPr="00E10690" w:rsidRDefault="002C0C19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C0C19" w:rsidRPr="00E10690" w:rsidRDefault="002C0C19" w:rsidP="00D41796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C0C19" w:rsidRPr="00E10690" w:rsidRDefault="0061518A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134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3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vAlign w:val="center"/>
          </w:tcPr>
          <w:p w:rsidR="002C0C19" w:rsidRPr="00E10690" w:rsidRDefault="0061518A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92" w:type="dxa"/>
            <w:vAlign w:val="center"/>
          </w:tcPr>
          <w:p w:rsidR="002C0C19" w:rsidRPr="00E10690" w:rsidRDefault="00F944B3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A80D68" w:rsidRPr="00E10690" w:rsidTr="00D41796">
        <w:tc>
          <w:tcPr>
            <w:tcW w:w="3085" w:type="dxa"/>
            <w:vMerge w:val="restart"/>
            <w:vAlign w:val="center"/>
          </w:tcPr>
          <w:p w:rsidR="00A80D68" w:rsidRPr="00E10690" w:rsidRDefault="00A80D68" w:rsidP="00D41796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Инвестиции в основной капитал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A80D68" w:rsidRPr="00E10690" w:rsidRDefault="00A80D68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38745,3</w:t>
            </w: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35572,4</w:t>
            </w:r>
          </w:p>
        </w:tc>
        <w:tc>
          <w:tcPr>
            <w:tcW w:w="993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11356,0</w:t>
            </w: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9935,9</w:t>
            </w: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7768,6</w:t>
            </w:r>
          </w:p>
        </w:tc>
      </w:tr>
      <w:tr w:rsidR="00A80D68" w:rsidRPr="00E10690" w:rsidTr="00D41796">
        <w:tc>
          <w:tcPr>
            <w:tcW w:w="3085" w:type="dxa"/>
            <w:vMerge/>
            <w:vAlign w:val="center"/>
          </w:tcPr>
          <w:p w:rsidR="00A80D68" w:rsidRDefault="00A80D68" w:rsidP="00D417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0D68" w:rsidRPr="00E10690" w:rsidRDefault="00A80D68" w:rsidP="00BB76B2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A80D68" w:rsidRPr="00E10690" w:rsidRDefault="00A80D68" w:rsidP="00BB76B2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93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A80D68" w:rsidRPr="00E10690" w:rsidTr="00D41796">
        <w:tc>
          <w:tcPr>
            <w:tcW w:w="3085" w:type="dxa"/>
            <w:vAlign w:val="center"/>
          </w:tcPr>
          <w:p w:rsidR="00A80D68" w:rsidRPr="00E10690" w:rsidRDefault="00A80D68" w:rsidP="00D417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A80D68" w:rsidRPr="00E10690" w:rsidRDefault="00A80D68" w:rsidP="00D4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0D68" w:rsidRPr="00E10690" w:rsidRDefault="00A80D68" w:rsidP="000962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0D68" w:rsidRPr="00E10690" w:rsidTr="00D417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E10690" w:rsidRDefault="00A80D68" w:rsidP="00D41796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Индекс потребительских цен</w:t>
            </w:r>
            <w:r w:rsidR="003A057D">
              <w:rPr>
                <w:sz w:val="22"/>
                <w:szCs w:val="22"/>
              </w:rPr>
              <w:t xml:space="preserve"> на товары и услуги</w:t>
            </w:r>
            <w:r w:rsidR="007D4667">
              <w:rPr>
                <w:sz w:val="22"/>
                <w:szCs w:val="22"/>
              </w:rPr>
              <w:t>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E10690" w:rsidRDefault="00A80D68" w:rsidP="00D41796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A80D68" w:rsidRPr="00E10690" w:rsidRDefault="00A80D68" w:rsidP="00D41796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E10690" w:rsidRDefault="003A057D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67265D" w:rsidRDefault="003A057D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67265D" w:rsidRDefault="003A057D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67265D" w:rsidRDefault="003A057D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68" w:rsidRPr="0067265D" w:rsidRDefault="003A057D" w:rsidP="0009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2C0C19" w:rsidRDefault="002C0C19" w:rsidP="002C0C19">
      <w:pPr>
        <w:ind w:right="282"/>
        <w:rPr>
          <w:b/>
          <w:sz w:val="24"/>
          <w:szCs w:val="24"/>
        </w:rPr>
      </w:pPr>
    </w:p>
    <w:p w:rsidR="002C0C19" w:rsidRPr="00AD14E0" w:rsidRDefault="002C0C19" w:rsidP="002C0C19">
      <w:pPr>
        <w:ind w:right="282"/>
        <w:rPr>
          <w:b/>
          <w:sz w:val="24"/>
          <w:szCs w:val="24"/>
        </w:rPr>
      </w:pPr>
    </w:p>
    <w:p w:rsidR="002C0C19" w:rsidRPr="002C0C19" w:rsidRDefault="002C0C19" w:rsidP="002C0C19">
      <w:pPr>
        <w:pStyle w:val="3"/>
        <w:pageBreakBefore/>
        <w:rPr>
          <w:bCs/>
        </w:rPr>
      </w:pPr>
      <w:bookmarkStart w:id="2" w:name="_Toc52186969"/>
      <w:r w:rsidRPr="002C0C19">
        <w:lastRenderedPageBreak/>
        <w:t>Пояснительная записка</w:t>
      </w:r>
      <w:bookmarkEnd w:id="2"/>
    </w:p>
    <w:p w:rsidR="002C0C19" w:rsidRPr="002C0C19" w:rsidRDefault="002C0C19" w:rsidP="002C0C19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к прогнозу социально-экономического развития</w:t>
      </w:r>
    </w:p>
    <w:p w:rsidR="002C0C19" w:rsidRPr="002C0C19" w:rsidRDefault="002C0C19" w:rsidP="002C0C19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Сосновоборского городского округа</w:t>
      </w:r>
    </w:p>
    <w:p w:rsidR="002C0C19" w:rsidRPr="002C0C19" w:rsidRDefault="002C0C19" w:rsidP="002C0C19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на 2021-2023 годы</w:t>
      </w:r>
    </w:p>
    <w:p w:rsidR="009C4AF0" w:rsidRDefault="009C4AF0" w:rsidP="009C4AF0">
      <w:pPr>
        <w:pStyle w:val="a7"/>
        <w:jc w:val="center"/>
        <w:rPr>
          <w:b/>
          <w:bCs/>
        </w:rPr>
      </w:pPr>
    </w:p>
    <w:tbl>
      <w:tblPr>
        <w:tblStyle w:val="afe"/>
        <w:tblW w:w="0" w:type="auto"/>
        <w:jc w:val="center"/>
        <w:tblInd w:w="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7"/>
      </w:tblGrid>
      <w:tr w:rsidR="002C0C19" w:rsidRPr="00A57B15" w:rsidTr="00DC74CF">
        <w:trPr>
          <w:jc w:val="center"/>
        </w:trPr>
        <w:tc>
          <w:tcPr>
            <w:tcW w:w="6147" w:type="dxa"/>
          </w:tcPr>
          <w:p w:rsidR="002C0C19" w:rsidRPr="00A57B15" w:rsidRDefault="002C0C19" w:rsidP="002C0C19">
            <w:pPr>
              <w:pStyle w:val="3"/>
              <w:outlineLvl w:val="2"/>
            </w:pPr>
            <w:bookmarkStart w:id="3" w:name="_Toc222304970"/>
            <w:bookmarkStart w:id="4" w:name="_Toc269476074"/>
            <w:bookmarkStart w:id="5" w:name="_Toc299458153"/>
            <w:bookmarkStart w:id="6" w:name="_Toc52186970"/>
            <w:r w:rsidRPr="00A57B15">
              <w:t>1. Общая характеристика муниципального образования</w:t>
            </w:r>
            <w:bookmarkEnd w:id="3"/>
            <w:bookmarkEnd w:id="4"/>
            <w:bookmarkEnd w:id="5"/>
            <w:bookmarkEnd w:id="6"/>
          </w:p>
        </w:tc>
      </w:tr>
    </w:tbl>
    <w:p w:rsidR="002C0C19" w:rsidRPr="00A57B15" w:rsidRDefault="002C0C19" w:rsidP="009C4AF0">
      <w:pPr>
        <w:pStyle w:val="a7"/>
        <w:jc w:val="center"/>
        <w:rPr>
          <w:b/>
          <w:bCs/>
        </w:rPr>
      </w:pPr>
    </w:p>
    <w:p w:rsidR="00416628" w:rsidRPr="00A57B15" w:rsidRDefault="00416628" w:rsidP="0041662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>В настоящее время Сосновоборский городской округ является энергетической базой Ленинградской области – атомградом, где ведущая роль принадлежит атомной энер</w:t>
      </w:r>
      <w:r w:rsidR="00A85C03">
        <w:rPr>
          <w:rFonts w:ascii="Times New Roman" w:hAnsi="Times New Roman"/>
          <w:sz w:val="24"/>
          <w:szCs w:val="24"/>
        </w:rPr>
        <w:t xml:space="preserve">гетике. В 2007 году </w:t>
      </w:r>
      <w:r w:rsidRPr="00A57B15">
        <w:rPr>
          <w:rFonts w:ascii="Times New Roman" w:hAnsi="Times New Roman"/>
          <w:sz w:val="24"/>
          <w:szCs w:val="24"/>
        </w:rPr>
        <w:t>началось строительство замещающих мощностей Ленинградской атомной станции, что определило перспективу развития города на несколько десятилетий.</w:t>
      </w:r>
    </w:p>
    <w:p w:rsidR="00416628" w:rsidRPr="00A57B15" w:rsidRDefault="00416628" w:rsidP="00416628">
      <w:pPr>
        <w:ind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 администрацией округа разработана и утверждена решением совета депутатов от 25.10.2017 № 154 Стратегия социально-экономического развития Сосновоборского городского округа до 2030 года, определены приоритетные направления развития округа на федеральном, региональном и муниципальном уровнях.</w:t>
      </w:r>
      <w:proofErr w:type="gramEnd"/>
    </w:p>
    <w:p w:rsidR="00416628" w:rsidRPr="00A57B15" w:rsidRDefault="00A85C03" w:rsidP="004166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16628" w:rsidRPr="00A57B15">
        <w:rPr>
          <w:sz w:val="24"/>
          <w:szCs w:val="24"/>
        </w:rPr>
        <w:t>азработаны и утверждены Программы комплексного развития социальной, коммунальной и транспортной инфраструктуры Сосновоборского городского округа, принята новая редакция Генерального плана округа.</w:t>
      </w:r>
    </w:p>
    <w:p w:rsidR="00416628" w:rsidRPr="00A57B15" w:rsidRDefault="00416628" w:rsidP="00416628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>В основу развития города положено продолжение реализации важнейших для города инвестиционных проектов Госкорпорации «Росатом» по реконструкции Ленинградской атомной станции и строительству замещающих мощностей ЛАЭС. В 2018 году началась промышленная эксплуатация первого энергоблока нового поколения, сменившего энергоблок № 1 ЛАЭС, выведенный из эксплуатации в конце 2018 года. В 2020 году продолжается строительство второго энергоблока нового поколения, принято решение о строительстве третьего и четвертого энергоблоков ЛАЭС-2.</w:t>
      </w:r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055331">
      <w:pPr>
        <w:pStyle w:val="3"/>
      </w:pPr>
      <w:bookmarkStart w:id="7" w:name="_Toc299458154"/>
      <w:bookmarkStart w:id="8" w:name="_Toc52186971"/>
      <w:r w:rsidRPr="00A57B15">
        <w:t>2. Демографическая ситуация</w:t>
      </w:r>
      <w:bookmarkEnd w:id="7"/>
      <w:bookmarkEnd w:id="8"/>
    </w:p>
    <w:p w:rsidR="009C4AF0" w:rsidRPr="00A57B15" w:rsidRDefault="009C4AF0" w:rsidP="009C4AF0">
      <w:pPr>
        <w:rPr>
          <w:sz w:val="24"/>
          <w:szCs w:val="24"/>
        </w:rPr>
      </w:pPr>
    </w:p>
    <w:p w:rsidR="00416628" w:rsidRPr="00A57B15" w:rsidRDefault="00416628" w:rsidP="00416628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bookmarkStart w:id="9" w:name="_Toc267584897"/>
      <w:r w:rsidRPr="00A57B15">
        <w:rPr>
          <w:b/>
          <w:bCs/>
          <w:sz w:val="24"/>
          <w:szCs w:val="24"/>
        </w:rPr>
        <w:t>Ожидаемые итоги 2020 года.</w:t>
      </w: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Численность населения Сосновоборского городского округа по состоянию на начало 2020 года по данным Петростата составила 67720 человек.</w:t>
      </w: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 учетом динам</w:t>
      </w:r>
      <w:r w:rsidR="00A85C03">
        <w:rPr>
          <w:sz w:val="24"/>
          <w:szCs w:val="24"/>
        </w:rPr>
        <w:t>ики демографических показателей</w:t>
      </w:r>
      <w:r w:rsidRPr="00A57B15">
        <w:rPr>
          <w:sz w:val="24"/>
          <w:szCs w:val="24"/>
        </w:rPr>
        <w:t xml:space="preserve"> ожидается, что число родившихся немного увеличится к уровню предыдущего года и составит 524 человека, а число умерших также увеличится и составит 730 человек. </w:t>
      </w:r>
    </w:p>
    <w:p w:rsidR="00416628" w:rsidRPr="00A57B15" w:rsidRDefault="00416628" w:rsidP="00416628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результате действия этих двух факторов – изменения рождаемости и смертности – естественная убыль населения сохранится на уровне 2019 года и составит 206 человек:</w:t>
      </w:r>
    </w:p>
    <w:p w:rsidR="00416628" w:rsidRPr="00A57B15" w:rsidRDefault="00416628" w:rsidP="00416628">
      <w:pPr>
        <w:pStyle w:val="34"/>
        <w:spacing w:after="0"/>
        <w:ind w:left="0"/>
        <w:jc w:val="center"/>
        <w:rPr>
          <w:sz w:val="24"/>
          <w:szCs w:val="24"/>
        </w:rPr>
      </w:pPr>
      <w:r w:rsidRPr="00A57B15">
        <w:rPr>
          <w:noProof/>
          <w:sz w:val="24"/>
          <w:szCs w:val="24"/>
        </w:rPr>
        <w:drawing>
          <wp:inline distT="0" distB="0" distL="0" distR="0">
            <wp:extent cx="6080760" cy="243840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628" w:rsidRPr="00A57B15" w:rsidRDefault="00416628" w:rsidP="00A85C03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Коэф</w:t>
      </w:r>
      <w:r w:rsidR="007A65D2" w:rsidRPr="00A57B15">
        <w:rPr>
          <w:sz w:val="24"/>
          <w:szCs w:val="24"/>
        </w:rPr>
        <w:t>фициент рождаемости составит 7,8</w:t>
      </w:r>
      <w:r w:rsidRPr="00A57B15">
        <w:rPr>
          <w:sz w:val="24"/>
          <w:szCs w:val="24"/>
        </w:rPr>
        <w:t xml:space="preserve"> человека на 1000 жителей округа, коэффициент смертности будет выше – 10,8 человека на 1000 жителей. Коэффициент естественной убыли населения составит 3,0 человека на 1000 жителей.</w:t>
      </w:r>
    </w:p>
    <w:p w:rsidR="00416628" w:rsidRPr="00A57B15" w:rsidRDefault="007A65D2" w:rsidP="00416628">
      <w:pPr>
        <w:ind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Миграционная убыль</w:t>
      </w:r>
      <w:r w:rsidR="00416628" w:rsidRPr="00A57B15">
        <w:rPr>
          <w:snapToGrid w:val="0"/>
          <w:sz w:val="24"/>
          <w:szCs w:val="24"/>
        </w:rPr>
        <w:t xml:space="preserve"> населения</w:t>
      </w:r>
      <w:r w:rsidR="00416628" w:rsidRPr="00A57B15">
        <w:rPr>
          <w:sz w:val="24"/>
          <w:szCs w:val="24"/>
        </w:rPr>
        <w:t xml:space="preserve"> в 2020 году </w:t>
      </w:r>
      <w:r w:rsidRPr="00A57B15">
        <w:rPr>
          <w:snapToGrid w:val="0"/>
          <w:sz w:val="24"/>
          <w:szCs w:val="24"/>
        </w:rPr>
        <w:t>ожидается в 10</w:t>
      </w:r>
      <w:r w:rsidR="00416628" w:rsidRPr="00A57B15">
        <w:rPr>
          <w:snapToGrid w:val="0"/>
          <w:sz w:val="24"/>
          <w:szCs w:val="24"/>
        </w:rPr>
        <w:t>0 человек</w:t>
      </w:r>
      <w:r w:rsidR="00416628" w:rsidRPr="00A57B15">
        <w:rPr>
          <w:sz w:val="24"/>
          <w:szCs w:val="24"/>
        </w:rPr>
        <w:t xml:space="preserve">. </w:t>
      </w:r>
    </w:p>
    <w:p w:rsidR="00416628" w:rsidRPr="00A57B15" w:rsidRDefault="00416628" w:rsidP="00416628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Таким</w:t>
      </w:r>
      <w:r w:rsidR="007A65D2" w:rsidRPr="00A57B15">
        <w:rPr>
          <w:sz w:val="24"/>
          <w:szCs w:val="24"/>
        </w:rPr>
        <w:t xml:space="preserve"> образом, миграционная убыль сложится с естественной</w:t>
      </w:r>
      <w:r w:rsidRPr="00A57B15">
        <w:rPr>
          <w:sz w:val="24"/>
          <w:szCs w:val="24"/>
        </w:rPr>
        <w:t xml:space="preserve"> убыль</w:t>
      </w:r>
      <w:r w:rsidR="007A65D2" w:rsidRPr="00A57B15">
        <w:rPr>
          <w:sz w:val="24"/>
          <w:szCs w:val="24"/>
        </w:rPr>
        <w:t>ю и уменьшит</w:t>
      </w:r>
      <w:r w:rsidRPr="00A57B15">
        <w:rPr>
          <w:sz w:val="24"/>
          <w:szCs w:val="24"/>
        </w:rPr>
        <w:t xml:space="preserve"> численность нас</w:t>
      </w:r>
      <w:r w:rsidR="007A65D2" w:rsidRPr="00A57B15">
        <w:rPr>
          <w:sz w:val="24"/>
          <w:szCs w:val="24"/>
        </w:rPr>
        <w:t>еления округа в 2020 году на 306 человек</w:t>
      </w:r>
      <w:r w:rsidRPr="00A57B15">
        <w:rPr>
          <w:sz w:val="24"/>
          <w:szCs w:val="24"/>
        </w:rPr>
        <w:t>. В результате численность населения округа с</w:t>
      </w:r>
      <w:r w:rsidR="007A65D2" w:rsidRPr="00A57B15">
        <w:rPr>
          <w:sz w:val="24"/>
          <w:szCs w:val="24"/>
        </w:rPr>
        <w:t xml:space="preserve">оставит </w:t>
      </w:r>
      <w:proofErr w:type="gramStart"/>
      <w:r w:rsidR="007A65D2" w:rsidRPr="00A57B15">
        <w:rPr>
          <w:sz w:val="24"/>
          <w:szCs w:val="24"/>
        </w:rPr>
        <w:t>на конец</w:t>
      </w:r>
      <w:proofErr w:type="gramEnd"/>
      <w:r w:rsidR="007A65D2" w:rsidRPr="00A57B15">
        <w:rPr>
          <w:sz w:val="24"/>
          <w:szCs w:val="24"/>
        </w:rPr>
        <w:t xml:space="preserve"> 2020 года 67414 человек</w:t>
      </w:r>
      <w:r w:rsidRPr="00A57B15">
        <w:rPr>
          <w:sz w:val="24"/>
          <w:szCs w:val="24"/>
        </w:rPr>
        <w:t>.</w:t>
      </w:r>
    </w:p>
    <w:p w:rsidR="00416628" w:rsidRPr="00A57B15" w:rsidRDefault="00416628" w:rsidP="00416628">
      <w:pPr>
        <w:pStyle w:val="21"/>
        <w:spacing w:after="0" w:line="240" w:lineRule="auto"/>
        <w:ind w:left="0" w:firstLine="709"/>
        <w:rPr>
          <w:bCs/>
          <w:sz w:val="24"/>
          <w:szCs w:val="24"/>
        </w:rPr>
      </w:pPr>
    </w:p>
    <w:p w:rsidR="00416628" w:rsidRPr="00A57B15" w:rsidRDefault="00416628" w:rsidP="00416628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связи с продолжающимся процессом старения населения округа, вызванным особенностями формирования возрастной структуры населения в годы интенсивного строительства города, ожидается небольшой рост числа умерших до 731-736 человек в год в прогнозируемом периоде.</w:t>
      </w:r>
    </w:p>
    <w:p w:rsidR="00416628" w:rsidRPr="00A57B15" w:rsidRDefault="00416628" w:rsidP="00416628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С учетом изменения возрастной структуры населения в результате вступления в детородный возраст женщин 90-х годов рождения, ожидается превышение смертности над рождаемостью </w:t>
      </w:r>
      <w:r w:rsidR="001E54C9" w:rsidRPr="00A57B15">
        <w:rPr>
          <w:sz w:val="24"/>
          <w:szCs w:val="24"/>
        </w:rPr>
        <w:t>(естественная убыль населения) около 200</w:t>
      </w:r>
      <w:r w:rsidRPr="00A57B15">
        <w:rPr>
          <w:sz w:val="24"/>
          <w:szCs w:val="24"/>
        </w:rPr>
        <w:t xml:space="preserve"> человек ежегодно:</w:t>
      </w:r>
    </w:p>
    <w:p w:rsidR="00416628" w:rsidRPr="00A57B15" w:rsidRDefault="00416628" w:rsidP="00416628">
      <w:pPr>
        <w:jc w:val="center"/>
        <w:rPr>
          <w:sz w:val="24"/>
          <w:szCs w:val="24"/>
        </w:rPr>
      </w:pPr>
      <w:r w:rsidRPr="00A57B15">
        <w:rPr>
          <w:noProof/>
          <w:sz w:val="24"/>
          <w:szCs w:val="24"/>
        </w:rPr>
        <w:drawing>
          <wp:inline distT="0" distB="0" distL="0" distR="0">
            <wp:extent cx="6080760" cy="2636520"/>
            <wp:effectExtent l="0" t="0" r="0" b="0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6628" w:rsidRPr="00A57B15" w:rsidRDefault="00416628" w:rsidP="00416628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Коэффициент рождаемости сохранится примерно на уровне 2020 года – 7,8 человека на 1000 жителей, а коэффициент смертности будет выше – 10,8 человека на 1000 жителей. Коэффициент естественной убыли населения составит 3,0 человека на 1000 жителей.</w:t>
      </w:r>
    </w:p>
    <w:p w:rsidR="00416628" w:rsidRPr="00A57B15" w:rsidRDefault="00416628" w:rsidP="00416628">
      <w:pPr>
        <w:ind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В связи с</w:t>
      </w:r>
      <w:r w:rsidR="00FA49AB" w:rsidRPr="00A57B15">
        <w:rPr>
          <w:sz w:val="24"/>
          <w:szCs w:val="24"/>
        </w:rPr>
        <w:t xml:space="preserve"> продолжающимся </w:t>
      </w:r>
      <w:r w:rsidRPr="00A57B15">
        <w:rPr>
          <w:sz w:val="24"/>
          <w:szCs w:val="24"/>
        </w:rPr>
        <w:t xml:space="preserve">строительством </w:t>
      </w:r>
      <w:r w:rsidRPr="00A57B15">
        <w:rPr>
          <w:snapToGrid w:val="0"/>
          <w:sz w:val="24"/>
          <w:szCs w:val="24"/>
        </w:rPr>
        <w:t>замещающих мощностей Ленинградской атомной станции и дальнейшим развитием города ожидается миграционный приро</w:t>
      </w:r>
      <w:r w:rsidR="00FA49AB" w:rsidRPr="00A57B15">
        <w:rPr>
          <w:snapToGrid w:val="0"/>
          <w:sz w:val="24"/>
          <w:szCs w:val="24"/>
        </w:rPr>
        <w:t>ст населения в количестве 200-</w:t>
      </w:r>
      <w:r w:rsidRPr="00A57B15">
        <w:rPr>
          <w:snapToGrid w:val="0"/>
          <w:sz w:val="24"/>
          <w:szCs w:val="24"/>
        </w:rPr>
        <w:t xml:space="preserve">300 человек ежегодно. </w:t>
      </w:r>
      <w:r w:rsidRPr="00A57B15">
        <w:rPr>
          <w:sz w:val="24"/>
          <w:szCs w:val="24"/>
        </w:rPr>
        <w:t>Коэффициент миграционного прироста составит 4,4 человека на 1000 жителей.</w:t>
      </w:r>
    </w:p>
    <w:p w:rsidR="00416628" w:rsidRPr="00A57B15" w:rsidRDefault="00416628" w:rsidP="00416628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bCs/>
          <w:snapToGrid w:val="0"/>
          <w:sz w:val="24"/>
          <w:szCs w:val="24"/>
        </w:rPr>
        <w:t>Ч</w:t>
      </w:r>
      <w:r w:rsidRPr="00A57B15">
        <w:rPr>
          <w:b/>
          <w:bCs/>
          <w:sz w:val="24"/>
          <w:szCs w:val="24"/>
        </w:rPr>
        <w:t>исленность населения города</w:t>
      </w:r>
      <w:r w:rsidRPr="00A57B15">
        <w:rPr>
          <w:sz w:val="24"/>
          <w:szCs w:val="24"/>
        </w:rPr>
        <w:t xml:space="preserve"> в результате действия этих факторов составит:</w:t>
      </w:r>
    </w:p>
    <w:p w:rsidR="00416628" w:rsidRPr="00A57B15" w:rsidRDefault="00FA49AB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2021 года – 67414 человек</w:t>
      </w:r>
      <w:r w:rsidR="00416628" w:rsidRPr="00A57B15">
        <w:rPr>
          <w:sz w:val="24"/>
          <w:szCs w:val="24"/>
        </w:rPr>
        <w:t>;</w:t>
      </w:r>
    </w:p>
    <w:p w:rsidR="00416628" w:rsidRPr="00A57B15" w:rsidRDefault="00FA49AB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2022 года – 6740</w:t>
      </w:r>
      <w:r w:rsidR="00416628" w:rsidRPr="00A57B15">
        <w:rPr>
          <w:sz w:val="24"/>
          <w:szCs w:val="24"/>
        </w:rPr>
        <w:t>9 человек;</w:t>
      </w:r>
    </w:p>
    <w:p w:rsidR="00416628" w:rsidRPr="00A57B15" w:rsidRDefault="00FA49AB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2023 года – 67504</w:t>
      </w:r>
      <w:r w:rsidR="00416628" w:rsidRPr="00A57B15">
        <w:rPr>
          <w:sz w:val="24"/>
          <w:szCs w:val="24"/>
        </w:rPr>
        <w:t xml:space="preserve"> человек</w:t>
      </w:r>
      <w:r w:rsidRPr="00A57B15">
        <w:rPr>
          <w:sz w:val="24"/>
          <w:szCs w:val="24"/>
        </w:rPr>
        <w:t>а</w:t>
      </w:r>
      <w:r w:rsidR="00416628" w:rsidRPr="00A57B15">
        <w:rPr>
          <w:sz w:val="24"/>
          <w:szCs w:val="24"/>
        </w:rPr>
        <w:t>.</w:t>
      </w: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настоящее время демографическую ситуацию в округе улучшает миграционный прирост населения, связанный в основном со строительством замещающих мощностей ЛАЭС. Но в перспективе численность населения города может сократиться, что негативно скажется на трудовом потенциале и развитии города. В связи с этим необходимо проведение активной политики, направленной на улучшение демографической ситуации в Сосновоборском городском округе. </w:t>
      </w:r>
    </w:p>
    <w:p w:rsidR="00416628" w:rsidRPr="00A57B15" w:rsidRDefault="00416628" w:rsidP="00416628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4"/>
        <w:gridCol w:w="5893"/>
      </w:tblGrid>
      <w:tr w:rsidR="00416628" w:rsidRPr="00A57B15" w:rsidTr="00416628">
        <w:tc>
          <w:tcPr>
            <w:tcW w:w="4005" w:type="dxa"/>
          </w:tcPr>
          <w:p w:rsidR="00416628" w:rsidRPr="00A57B15" w:rsidRDefault="00416628" w:rsidP="00416628">
            <w:pPr>
              <w:keepNext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lastRenderedPageBreak/>
              <w:t>Основные проблемы демографии</w:t>
            </w:r>
          </w:p>
        </w:tc>
        <w:tc>
          <w:tcPr>
            <w:tcW w:w="5918" w:type="dxa"/>
          </w:tcPr>
          <w:p w:rsidR="00416628" w:rsidRPr="00A57B15" w:rsidRDefault="00416628" w:rsidP="00416628">
            <w:pPr>
              <w:keepNext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416628" w:rsidRPr="00A57B15" w:rsidTr="00416628">
        <w:tc>
          <w:tcPr>
            <w:tcW w:w="4005" w:type="dxa"/>
          </w:tcPr>
          <w:p w:rsidR="00416628" w:rsidRPr="00A57B15" w:rsidRDefault="00416628" w:rsidP="00416628">
            <w:pPr>
              <w:spacing w:after="12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Низкая рождаемость, не обеспечивающая рост населения.</w:t>
            </w:r>
          </w:p>
          <w:p w:rsidR="00416628" w:rsidRPr="00A57B15" w:rsidRDefault="00416628" w:rsidP="00416628">
            <w:pPr>
              <w:spacing w:after="12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Малая продолжительность жизни.</w:t>
            </w:r>
          </w:p>
        </w:tc>
        <w:tc>
          <w:tcPr>
            <w:tcW w:w="5918" w:type="dxa"/>
          </w:tcPr>
          <w:p w:rsidR="00416628" w:rsidRPr="00A57B15" w:rsidRDefault="00416628" w:rsidP="00416628">
            <w:pPr>
              <w:spacing w:after="12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Проведение активной демографической политики.</w:t>
            </w:r>
          </w:p>
          <w:p w:rsidR="00416628" w:rsidRPr="00A57B15" w:rsidRDefault="00416628" w:rsidP="00416628">
            <w:pPr>
              <w:spacing w:after="12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Реализация Основных направлений по улучшению демографической ситуации в Сосновоборском городском округе на период с 2014 по 2030 год и комплексного плана мероприятий по улучшению демографической ситуации в Сосновоборском городском округе на 2014-2020 годы, включая профилактические мероприятия по заболеваниям, несчастным случаям.</w:t>
            </w:r>
          </w:p>
        </w:tc>
      </w:tr>
    </w:tbl>
    <w:p w:rsidR="00416628" w:rsidRPr="00A57B15" w:rsidRDefault="00416628" w:rsidP="00416628">
      <w:pPr>
        <w:rPr>
          <w:sz w:val="24"/>
          <w:szCs w:val="24"/>
        </w:rPr>
      </w:pPr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055331">
      <w:pPr>
        <w:pStyle w:val="3"/>
      </w:pPr>
      <w:bookmarkStart w:id="10" w:name="_Toc52186972"/>
      <w:r w:rsidRPr="00A57B15">
        <w:t>3. Труд и занятость населения</w:t>
      </w:r>
      <w:bookmarkEnd w:id="9"/>
      <w:bookmarkEnd w:id="10"/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673B9D" w:rsidP="009C4AF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</w:t>
      </w:r>
      <w:r w:rsidR="009C4AF0" w:rsidRPr="00A57B15">
        <w:rPr>
          <w:b/>
          <w:bCs/>
          <w:sz w:val="24"/>
          <w:szCs w:val="24"/>
        </w:rPr>
        <w:t xml:space="preserve"> года.</w:t>
      </w:r>
    </w:p>
    <w:p w:rsidR="009C4AF0" w:rsidRPr="00A57B15" w:rsidRDefault="009C4AF0" w:rsidP="009C4AF0">
      <w:pPr>
        <w:pStyle w:val="a7"/>
        <w:ind w:firstLine="709"/>
      </w:pPr>
      <w:r w:rsidRPr="00A57B15">
        <w:rPr>
          <w:b/>
        </w:rPr>
        <w:t xml:space="preserve">Среднесписочная численность </w:t>
      </w:r>
      <w:r w:rsidR="005430C9" w:rsidRPr="00A57B15">
        <w:t>работников за 2020</w:t>
      </w:r>
      <w:r w:rsidRPr="00A57B15">
        <w:t xml:space="preserve"> год крупных и средних организаций Сосновоборского городского </w:t>
      </w:r>
      <w:r w:rsidR="006F63A8" w:rsidRPr="00A57B15">
        <w:t>округа ожидается с ростом на 2,3</w:t>
      </w:r>
      <w:r w:rsidRPr="00A57B15">
        <w:t xml:space="preserve"> % к предыдущему году и составит </w:t>
      </w:r>
      <w:r w:rsidR="006F63A8" w:rsidRPr="00A57B15">
        <w:t>26301</w:t>
      </w:r>
      <w:r w:rsidRPr="00A57B15">
        <w:t xml:space="preserve"> человек. Кроме того, для работы в этих организациях будет привлечено на условиях совместительства и по договорам гражданско-правового характера около 500 человек.</w:t>
      </w:r>
    </w:p>
    <w:p w:rsidR="009C4AF0" w:rsidRPr="00A57B15" w:rsidRDefault="009C4AF0" w:rsidP="009C4AF0">
      <w:pPr>
        <w:pStyle w:val="a7"/>
        <w:ind w:firstLine="709"/>
      </w:pPr>
      <w:r w:rsidRPr="00A57B15">
        <w:t>Рост</w:t>
      </w:r>
      <w:r w:rsidRPr="00A57B15">
        <w:rPr>
          <w:szCs w:val="24"/>
        </w:rPr>
        <w:t xml:space="preserve"> численности работающих на крупных и средних предприятиях связан с увеличением рабочих </w:t>
      </w:r>
      <w:proofErr w:type="gramStart"/>
      <w:r w:rsidRPr="00A57B15">
        <w:rPr>
          <w:szCs w:val="24"/>
        </w:rPr>
        <w:t>мест</w:t>
      </w:r>
      <w:proofErr w:type="gramEnd"/>
      <w:r w:rsidRPr="00A57B15">
        <w:rPr>
          <w:szCs w:val="24"/>
        </w:rPr>
        <w:t xml:space="preserve"> прежде всего в строитель</w:t>
      </w:r>
      <w:r w:rsidR="00A331BC" w:rsidRPr="00A57B15">
        <w:rPr>
          <w:szCs w:val="24"/>
        </w:rPr>
        <w:t>стве, торговле и обрабатывающих производствах</w:t>
      </w:r>
      <w:r w:rsidRPr="00A57B15">
        <w:rPr>
          <w:szCs w:val="24"/>
        </w:rPr>
        <w:t>.</w:t>
      </w:r>
    </w:p>
    <w:p w:rsidR="009C4AF0" w:rsidRPr="00A57B15" w:rsidRDefault="009C4AF0" w:rsidP="009C4AF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Среднемесячная заработная плата</w:t>
      </w:r>
      <w:r w:rsidRPr="00A57B15">
        <w:rPr>
          <w:sz w:val="24"/>
          <w:szCs w:val="24"/>
        </w:rPr>
        <w:t xml:space="preserve"> работников списочного состава крупных и ср</w:t>
      </w:r>
      <w:r w:rsidR="00A331BC" w:rsidRPr="00A57B15">
        <w:rPr>
          <w:sz w:val="24"/>
          <w:szCs w:val="24"/>
        </w:rPr>
        <w:t>едних организаций округа за 2020 год вырастет на 5,6</w:t>
      </w:r>
      <w:r w:rsidRPr="00A57B15">
        <w:rPr>
          <w:sz w:val="24"/>
          <w:szCs w:val="24"/>
        </w:rPr>
        <w:t xml:space="preserve"> % по сравнению с уровнем п</w:t>
      </w:r>
      <w:r w:rsidR="00A331BC" w:rsidRPr="00A57B15">
        <w:rPr>
          <w:sz w:val="24"/>
          <w:szCs w:val="24"/>
        </w:rPr>
        <w:t>редыдущего года и составит 75199</w:t>
      </w:r>
      <w:r w:rsidRPr="00A57B15">
        <w:rPr>
          <w:sz w:val="24"/>
          <w:szCs w:val="24"/>
        </w:rPr>
        <w:t xml:space="preserve"> руб.</w:t>
      </w:r>
    </w:p>
    <w:p w:rsidR="009C4AF0" w:rsidRPr="00A57B15" w:rsidRDefault="009C4AF0" w:rsidP="009C4AF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Сохранится разрыв уровня оплаты труда работников производственных отраслей и бюджетной сферы. Наиболее высокая заработная плата на предприятиях энергетики, в строительных и научных организациях.</w:t>
      </w:r>
    </w:p>
    <w:p w:rsidR="009C4AF0" w:rsidRPr="00A57B15" w:rsidRDefault="009C4AF0" w:rsidP="009C4AF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Численность зарегистрированных безработных</w:t>
      </w:r>
      <w:r w:rsidR="00761875" w:rsidRPr="00A57B15">
        <w:rPr>
          <w:sz w:val="24"/>
          <w:szCs w:val="24"/>
        </w:rPr>
        <w:t xml:space="preserve"> в городе за 2020 год </w:t>
      </w:r>
      <w:r w:rsidR="007052C3" w:rsidRPr="00A57B15">
        <w:rPr>
          <w:sz w:val="24"/>
          <w:szCs w:val="24"/>
        </w:rPr>
        <w:t xml:space="preserve">в связи </w:t>
      </w:r>
      <w:r w:rsidR="00230F26" w:rsidRPr="00A57B15">
        <w:rPr>
          <w:sz w:val="24"/>
          <w:szCs w:val="24"/>
        </w:rPr>
        <w:t xml:space="preserve">с пандемией, вызванной </w:t>
      </w:r>
      <w:proofErr w:type="spellStart"/>
      <w:r w:rsidR="00230F26" w:rsidRPr="00A57B15">
        <w:rPr>
          <w:sz w:val="24"/>
          <w:szCs w:val="24"/>
        </w:rPr>
        <w:t>короновирусной</w:t>
      </w:r>
      <w:proofErr w:type="spellEnd"/>
      <w:r w:rsidR="00230F26" w:rsidRPr="00A57B15">
        <w:rPr>
          <w:sz w:val="24"/>
          <w:szCs w:val="24"/>
        </w:rPr>
        <w:t xml:space="preserve"> инфекцией, </w:t>
      </w:r>
      <w:r w:rsidR="00761875" w:rsidRPr="00A57B15">
        <w:rPr>
          <w:sz w:val="24"/>
          <w:szCs w:val="24"/>
        </w:rPr>
        <w:t xml:space="preserve">ожидается </w:t>
      </w:r>
      <w:r w:rsidR="007052C3" w:rsidRPr="00A57B15">
        <w:rPr>
          <w:sz w:val="24"/>
          <w:szCs w:val="24"/>
        </w:rPr>
        <w:t xml:space="preserve">в 4 раза </w:t>
      </w:r>
      <w:r w:rsidR="00761875" w:rsidRPr="00A57B15">
        <w:rPr>
          <w:sz w:val="24"/>
          <w:szCs w:val="24"/>
        </w:rPr>
        <w:t>выше уровня предыдущего года – 485</w:t>
      </w:r>
      <w:r w:rsidRPr="00A57B15">
        <w:rPr>
          <w:sz w:val="24"/>
          <w:szCs w:val="24"/>
        </w:rPr>
        <w:t xml:space="preserve"> чел. Уровень безрабо</w:t>
      </w:r>
      <w:r w:rsidR="00761875" w:rsidRPr="00A57B15">
        <w:rPr>
          <w:sz w:val="24"/>
          <w:szCs w:val="24"/>
        </w:rPr>
        <w:t>тицы на конец года составит 1</w:t>
      </w:r>
      <w:r w:rsidRPr="00A57B15">
        <w:rPr>
          <w:sz w:val="24"/>
          <w:szCs w:val="24"/>
        </w:rPr>
        <w:t>,3</w:t>
      </w:r>
      <w:r w:rsidR="00761875" w:rsidRPr="00A57B15">
        <w:rPr>
          <w:sz w:val="24"/>
          <w:szCs w:val="24"/>
        </w:rPr>
        <w:t> </w:t>
      </w:r>
      <w:r w:rsidRPr="00A57B15">
        <w:rPr>
          <w:sz w:val="24"/>
          <w:szCs w:val="24"/>
        </w:rPr>
        <w:t>% от численности экономически активного населения.</w:t>
      </w:r>
    </w:p>
    <w:p w:rsidR="009C4AF0" w:rsidRPr="00A57B15" w:rsidRDefault="009C4AF0" w:rsidP="009C4AF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Городской банк вакансий</w:t>
      </w:r>
      <w:r w:rsidR="00F2061A" w:rsidRPr="00A57B15">
        <w:rPr>
          <w:sz w:val="24"/>
          <w:szCs w:val="24"/>
        </w:rPr>
        <w:t xml:space="preserve"> </w:t>
      </w:r>
      <w:proofErr w:type="gramStart"/>
      <w:r w:rsidR="00F2061A" w:rsidRPr="00A57B15">
        <w:rPr>
          <w:sz w:val="24"/>
          <w:szCs w:val="24"/>
        </w:rPr>
        <w:t>на конец</w:t>
      </w:r>
      <w:proofErr w:type="gramEnd"/>
      <w:r w:rsidR="00F2061A" w:rsidRPr="00A57B15">
        <w:rPr>
          <w:sz w:val="24"/>
          <w:szCs w:val="24"/>
        </w:rPr>
        <w:t xml:space="preserve"> 2020</w:t>
      </w:r>
      <w:r w:rsidR="007052C3" w:rsidRPr="00A57B15">
        <w:rPr>
          <w:sz w:val="24"/>
          <w:szCs w:val="24"/>
        </w:rPr>
        <w:t xml:space="preserve"> года составит 1714 вакансий, немного выше уровня</w:t>
      </w:r>
      <w:r w:rsidRPr="00A57B15">
        <w:rPr>
          <w:sz w:val="24"/>
          <w:szCs w:val="24"/>
        </w:rPr>
        <w:t xml:space="preserve"> предыдущего года</w:t>
      </w:r>
      <w:r w:rsidR="00230F26" w:rsidRPr="00A57B15">
        <w:rPr>
          <w:sz w:val="24"/>
          <w:szCs w:val="24"/>
        </w:rPr>
        <w:t>, и, несмотря на значительный рост числа безработных,</w:t>
      </w:r>
      <w:r w:rsidR="007052C3" w:rsidRPr="00A57B15">
        <w:rPr>
          <w:sz w:val="24"/>
          <w:szCs w:val="24"/>
        </w:rPr>
        <w:t xml:space="preserve"> </w:t>
      </w:r>
      <w:r w:rsidR="00230F26" w:rsidRPr="00A57B15">
        <w:rPr>
          <w:sz w:val="24"/>
          <w:szCs w:val="24"/>
        </w:rPr>
        <w:t xml:space="preserve">обеспечивает </w:t>
      </w:r>
      <w:r w:rsidR="007052C3" w:rsidRPr="00A57B15">
        <w:rPr>
          <w:sz w:val="24"/>
          <w:szCs w:val="24"/>
        </w:rPr>
        <w:t>3,5 вакансии на одного безработного.</w:t>
      </w:r>
    </w:p>
    <w:p w:rsidR="009C4AF0" w:rsidRPr="00A57B15" w:rsidRDefault="009C4AF0" w:rsidP="009C4AF0">
      <w:pPr>
        <w:ind w:firstLine="709"/>
        <w:jc w:val="both"/>
        <w:rPr>
          <w:sz w:val="24"/>
          <w:szCs w:val="24"/>
        </w:rPr>
      </w:pPr>
    </w:p>
    <w:p w:rsidR="009C4AF0" w:rsidRPr="00A57B15" w:rsidRDefault="00830544" w:rsidP="009C4AF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</w:t>
      </w:r>
      <w:r w:rsidR="009C4AF0" w:rsidRPr="00A57B15">
        <w:rPr>
          <w:b/>
          <w:bCs/>
          <w:sz w:val="24"/>
          <w:szCs w:val="24"/>
        </w:rPr>
        <w:t xml:space="preserve"> годы.</w:t>
      </w:r>
    </w:p>
    <w:p w:rsidR="009C4AF0" w:rsidRPr="00A57B15" w:rsidRDefault="009C4AF0" w:rsidP="009C4AF0">
      <w:pPr>
        <w:pStyle w:val="a7"/>
        <w:ind w:firstLine="709"/>
      </w:pPr>
      <w:r w:rsidRPr="00A57B15">
        <w:rPr>
          <w:b/>
        </w:rPr>
        <w:t xml:space="preserve">Среднесписочная численность </w:t>
      </w:r>
      <w:r w:rsidRPr="00A57B15">
        <w:t>работников в крупных и средних организациях Сосновоборского городского округа, с учетом строительства замещающих мощностей Ленинградской АЭС, прогнозируется с ежегодным ростом и составит:</w:t>
      </w:r>
    </w:p>
    <w:p w:rsidR="009C4AF0" w:rsidRPr="00A57B15" w:rsidRDefault="006D0065" w:rsidP="009C4AF0">
      <w:pPr>
        <w:pStyle w:val="a7"/>
        <w:ind w:firstLine="709"/>
      </w:pPr>
      <w:r w:rsidRPr="00A57B15">
        <w:t>в 2021 году – 26327</w:t>
      </w:r>
      <w:r w:rsidR="009C4AF0" w:rsidRPr="00A57B15">
        <w:t xml:space="preserve"> чел.,</w:t>
      </w:r>
      <w:r w:rsidRPr="00A57B15">
        <w:t xml:space="preserve"> ро</w:t>
      </w:r>
      <w:proofErr w:type="gramStart"/>
      <w:r w:rsidRPr="00A57B15">
        <w:t>ст к пр</w:t>
      </w:r>
      <w:proofErr w:type="gramEnd"/>
      <w:r w:rsidRPr="00A57B15">
        <w:t>едыдущему году – 100,1</w:t>
      </w:r>
      <w:r w:rsidR="009C4AF0" w:rsidRPr="00A57B15">
        <w:t xml:space="preserve"> %;</w:t>
      </w:r>
    </w:p>
    <w:p w:rsidR="009C4AF0" w:rsidRPr="00A57B15" w:rsidRDefault="006D0065" w:rsidP="009C4AF0">
      <w:pPr>
        <w:pStyle w:val="a7"/>
        <w:ind w:firstLine="709"/>
      </w:pPr>
      <w:r w:rsidRPr="00A57B15">
        <w:t>в 2022 году – 26354</w:t>
      </w:r>
      <w:r w:rsidR="009C4AF0" w:rsidRPr="00A57B15">
        <w:t xml:space="preserve"> чел.,</w:t>
      </w:r>
      <w:r w:rsidRPr="00A57B15">
        <w:t xml:space="preserve"> ро</w:t>
      </w:r>
      <w:proofErr w:type="gramStart"/>
      <w:r w:rsidRPr="00A57B15">
        <w:t>ст к пр</w:t>
      </w:r>
      <w:proofErr w:type="gramEnd"/>
      <w:r w:rsidRPr="00A57B15">
        <w:t>едыдущему году – 100,1</w:t>
      </w:r>
      <w:r w:rsidR="009C4AF0" w:rsidRPr="00A57B15">
        <w:t xml:space="preserve"> %;</w:t>
      </w:r>
    </w:p>
    <w:p w:rsidR="009C4AF0" w:rsidRPr="00A57B15" w:rsidRDefault="006D0065" w:rsidP="009C4AF0">
      <w:pPr>
        <w:pStyle w:val="a7"/>
        <w:ind w:firstLine="709"/>
      </w:pPr>
      <w:r w:rsidRPr="00A57B15">
        <w:t>в 2023 году – 26380</w:t>
      </w:r>
      <w:r w:rsidR="009C4AF0" w:rsidRPr="00A57B15">
        <w:t xml:space="preserve"> чел.,</w:t>
      </w:r>
      <w:r w:rsidRPr="00A57B15">
        <w:t xml:space="preserve"> ро</w:t>
      </w:r>
      <w:proofErr w:type="gramStart"/>
      <w:r w:rsidRPr="00A57B15">
        <w:t>ст к пр</w:t>
      </w:r>
      <w:proofErr w:type="gramEnd"/>
      <w:r w:rsidRPr="00A57B15">
        <w:t>едыдущему году – 100,1</w:t>
      </w:r>
      <w:r w:rsidR="009C4AF0" w:rsidRPr="00A57B15">
        <w:t xml:space="preserve"> %.</w:t>
      </w:r>
    </w:p>
    <w:p w:rsidR="009C4AF0" w:rsidRPr="00A57B15" w:rsidRDefault="009C4AF0" w:rsidP="009C4AF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Среднемесячная заработная плата</w:t>
      </w:r>
      <w:r w:rsidRPr="00A57B15">
        <w:rPr>
          <w:sz w:val="24"/>
          <w:szCs w:val="24"/>
        </w:rPr>
        <w:t xml:space="preserve"> работников списочного состава крупных и средних организаций округа прогн</w:t>
      </w:r>
      <w:r w:rsidR="00411AA3" w:rsidRPr="00A57B15">
        <w:rPr>
          <w:sz w:val="24"/>
          <w:szCs w:val="24"/>
        </w:rPr>
        <w:t>озируется с ежегодным ростом немного</w:t>
      </w:r>
      <w:r w:rsidRPr="00A57B15">
        <w:rPr>
          <w:sz w:val="24"/>
          <w:szCs w:val="24"/>
        </w:rPr>
        <w:t xml:space="preserve"> ниже сложивш</w:t>
      </w:r>
      <w:r w:rsidR="00411AA3" w:rsidRPr="00A57B15">
        <w:rPr>
          <w:sz w:val="24"/>
          <w:szCs w:val="24"/>
        </w:rPr>
        <w:t>ейся динамики за последние годы</w:t>
      </w:r>
      <w:r w:rsidRPr="00A57B15">
        <w:rPr>
          <w:sz w:val="24"/>
          <w:szCs w:val="24"/>
        </w:rPr>
        <w:t xml:space="preserve"> и составит:</w:t>
      </w:r>
    </w:p>
    <w:p w:rsidR="009C4AF0" w:rsidRPr="00A57B15" w:rsidRDefault="00411AA3" w:rsidP="009C4AF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2021 году – 79711</w:t>
      </w:r>
      <w:r w:rsidR="009C4AF0" w:rsidRPr="00A57B15">
        <w:rPr>
          <w:sz w:val="24"/>
          <w:szCs w:val="24"/>
        </w:rPr>
        <w:t xml:space="preserve"> руб.,</w:t>
      </w:r>
      <w:r w:rsidRPr="00A57B15">
        <w:rPr>
          <w:sz w:val="24"/>
          <w:szCs w:val="24"/>
        </w:rPr>
        <w:t xml:space="preserve"> ро</w:t>
      </w:r>
      <w:proofErr w:type="gramStart"/>
      <w:r w:rsidRPr="00A57B15">
        <w:rPr>
          <w:sz w:val="24"/>
          <w:szCs w:val="24"/>
        </w:rPr>
        <w:t>ст к пр</w:t>
      </w:r>
      <w:proofErr w:type="gramEnd"/>
      <w:r w:rsidRPr="00A57B15">
        <w:rPr>
          <w:sz w:val="24"/>
          <w:szCs w:val="24"/>
        </w:rPr>
        <w:t>едыдущему году – 106,0</w:t>
      </w:r>
      <w:r w:rsidR="009C4AF0" w:rsidRPr="00A57B15">
        <w:rPr>
          <w:sz w:val="24"/>
          <w:szCs w:val="24"/>
        </w:rPr>
        <w:t xml:space="preserve"> %;</w:t>
      </w:r>
    </w:p>
    <w:p w:rsidR="009C4AF0" w:rsidRPr="00A57B15" w:rsidRDefault="00411AA3" w:rsidP="009C4AF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2022 году – 84334</w:t>
      </w:r>
      <w:r w:rsidR="009C4AF0" w:rsidRPr="00A57B15">
        <w:rPr>
          <w:sz w:val="24"/>
          <w:szCs w:val="24"/>
        </w:rPr>
        <w:t xml:space="preserve"> руб.,</w:t>
      </w:r>
      <w:r w:rsidRPr="00A57B15">
        <w:rPr>
          <w:sz w:val="24"/>
          <w:szCs w:val="24"/>
        </w:rPr>
        <w:t xml:space="preserve"> ро</w:t>
      </w:r>
      <w:proofErr w:type="gramStart"/>
      <w:r w:rsidRPr="00A57B15">
        <w:rPr>
          <w:sz w:val="24"/>
          <w:szCs w:val="24"/>
        </w:rPr>
        <w:t>ст к пр</w:t>
      </w:r>
      <w:proofErr w:type="gramEnd"/>
      <w:r w:rsidRPr="00A57B15">
        <w:rPr>
          <w:sz w:val="24"/>
          <w:szCs w:val="24"/>
        </w:rPr>
        <w:t>едыдущему году – 105,8</w:t>
      </w:r>
      <w:r w:rsidR="009C4AF0" w:rsidRPr="00A57B15">
        <w:rPr>
          <w:sz w:val="24"/>
          <w:szCs w:val="24"/>
        </w:rPr>
        <w:t xml:space="preserve"> %;</w:t>
      </w:r>
    </w:p>
    <w:p w:rsidR="009C4AF0" w:rsidRPr="00A57B15" w:rsidRDefault="00411AA3" w:rsidP="009C4AF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2023 году – 90069</w:t>
      </w:r>
      <w:r w:rsidR="009C4AF0" w:rsidRPr="00A57B15">
        <w:rPr>
          <w:sz w:val="24"/>
          <w:szCs w:val="24"/>
        </w:rPr>
        <w:t xml:space="preserve"> руб.,</w:t>
      </w:r>
      <w:r w:rsidRPr="00A57B15">
        <w:rPr>
          <w:sz w:val="24"/>
          <w:szCs w:val="24"/>
        </w:rPr>
        <w:t xml:space="preserve"> ро</w:t>
      </w:r>
      <w:proofErr w:type="gramStart"/>
      <w:r w:rsidRPr="00A57B15">
        <w:rPr>
          <w:sz w:val="24"/>
          <w:szCs w:val="24"/>
        </w:rPr>
        <w:t>ст к пр</w:t>
      </w:r>
      <w:proofErr w:type="gramEnd"/>
      <w:r w:rsidRPr="00A57B15">
        <w:rPr>
          <w:sz w:val="24"/>
          <w:szCs w:val="24"/>
        </w:rPr>
        <w:t>едыдущему году – 106,8</w:t>
      </w:r>
      <w:r w:rsidR="009C4AF0" w:rsidRPr="00A57B15">
        <w:rPr>
          <w:sz w:val="24"/>
          <w:szCs w:val="24"/>
        </w:rPr>
        <w:t xml:space="preserve"> %.</w:t>
      </w:r>
    </w:p>
    <w:p w:rsidR="009C4AF0" w:rsidRPr="00A57B15" w:rsidRDefault="009C4AF0" w:rsidP="009C4AF0">
      <w:pPr>
        <w:pStyle w:val="a7"/>
        <w:spacing w:before="120"/>
        <w:ind w:firstLine="709"/>
        <w:rPr>
          <w:szCs w:val="24"/>
        </w:rPr>
      </w:pPr>
      <w:r w:rsidRPr="00A57B15">
        <w:rPr>
          <w:b/>
        </w:rPr>
        <w:lastRenderedPageBreak/>
        <w:t>Численность зарегистрированных безработных</w:t>
      </w:r>
      <w:r w:rsidRPr="00A57B15">
        <w:t xml:space="preserve"> в городе</w:t>
      </w:r>
      <w:r w:rsidR="00313359" w:rsidRPr="00A57B15">
        <w:rPr>
          <w:szCs w:val="24"/>
        </w:rPr>
        <w:t xml:space="preserve"> в 2021-2023 годах прогнозируется со снижением к уровню 2020 года – до 220-130</w:t>
      </w:r>
      <w:r w:rsidRPr="00A57B15">
        <w:rPr>
          <w:szCs w:val="24"/>
        </w:rPr>
        <w:t xml:space="preserve"> чел. Уровень безработицы при этом составит </w:t>
      </w:r>
      <w:r w:rsidR="00313359" w:rsidRPr="00A57B15">
        <w:rPr>
          <w:szCs w:val="24"/>
        </w:rPr>
        <w:t>0,6-</w:t>
      </w:r>
      <w:r w:rsidRPr="00A57B15">
        <w:rPr>
          <w:szCs w:val="24"/>
        </w:rPr>
        <w:t>0,3 % от численности экономически активного населения округа.</w:t>
      </w:r>
    </w:p>
    <w:p w:rsidR="009C4AF0" w:rsidRPr="00A57B15" w:rsidRDefault="009C4AF0" w:rsidP="009C4AF0">
      <w:pPr>
        <w:pStyle w:val="a7"/>
        <w:spacing w:before="120"/>
        <w:ind w:firstLine="709"/>
        <w:rPr>
          <w:szCs w:val="24"/>
        </w:rPr>
      </w:pPr>
      <w:r w:rsidRPr="00A57B15">
        <w:rPr>
          <w:szCs w:val="24"/>
        </w:rPr>
        <w:t xml:space="preserve">Городской банк </w:t>
      </w:r>
      <w:r w:rsidRPr="00A57B15">
        <w:rPr>
          <w:b/>
          <w:szCs w:val="24"/>
        </w:rPr>
        <w:t>вакансий,</w:t>
      </w:r>
      <w:r w:rsidRPr="00A57B15">
        <w:rPr>
          <w:szCs w:val="24"/>
        </w:rPr>
        <w:t xml:space="preserve"> как и в предыдущие годы, ожидается со значительным превышением численности безработных </w:t>
      </w:r>
      <w:r w:rsidR="00DC26C6" w:rsidRPr="00A57B15">
        <w:rPr>
          <w:szCs w:val="24"/>
        </w:rPr>
        <w:t>и составит около 1700</w:t>
      </w:r>
      <w:r w:rsidRPr="00A57B15">
        <w:rPr>
          <w:szCs w:val="24"/>
        </w:rPr>
        <w:t xml:space="preserve"> вакансий.</w:t>
      </w:r>
    </w:p>
    <w:p w:rsidR="009C4AF0" w:rsidRPr="00A57B15" w:rsidRDefault="009C4AF0" w:rsidP="009C4AF0">
      <w:pPr>
        <w:pStyle w:val="34"/>
        <w:spacing w:after="0"/>
        <w:ind w:left="0" w:firstLine="708"/>
        <w:jc w:val="both"/>
        <w:rPr>
          <w:sz w:val="24"/>
          <w:szCs w:val="24"/>
        </w:rPr>
      </w:pPr>
    </w:p>
    <w:p w:rsidR="009C4AF0" w:rsidRPr="00A57B15" w:rsidRDefault="009C4AF0" w:rsidP="009C4AF0">
      <w:pPr>
        <w:rPr>
          <w:b/>
          <w:sz w:val="24"/>
          <w:szCs w:val="24"/>
        </w:rPr>
      </w:pPr>
    </w:p>
    <w:p w:rsidR="009C4AF0" w:rsidRPr="00A57B15" w:rsidRDefault="009C4AF0" w:rsidP="00055331">
      <w:pPr>
        <w:pStyle w:val="3"/>
      </w:pPr>
      <w:bookmarkStart w:id="11" w:name="_Toc270930043"/>
      <w:bookmarkStart w:id="12" w:name="_Toc52186973"/>
      <w:r w:rsidRPr="00A57B15">
        <w:t>4. Градостроительство и землепользование</w:t>
      </w:r>
      <w:bookmarkEnd w:id="11"/>
      <w:bookmarkEnd w:id="12"/>
    </w:p>
    <w:p w:rsidR="009C4AF0" w:rsidRPr="00A57B15" w:rsidRDefault="009C4AF0" w:rsidP="009C4AF0">
      <w:pPr>
        <w:rPr>
          <w:sz w:val="24"/>
          <w:szCs w:val="24"/>
        </w:rPr>
      </w:pPr>
    </w:p>
    <w:p w:rsidR="00AF4432" w:rsidRPr="00A57B15" w:rsidRDefault="00AF4432" w:rsidP="00AF4432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bookmarkStart w:id="13" w:name="_Toc267584899"/>
      <w:bookmarkStart w:id="14" w:name="_Toc222304980"/>
      <w:r w:rsidRPr="00A57B15">
        <w:rPr>
          <w:b/>
          <w:bCs/>
          <w:sz w:val="24"/>
          <w:szCs w:val="24"/>
        </w:rPr>
        <w:t>Ожидаемые итоги 2020 года.</w:t>
      </w:r>
    </w:p>
    <w:p w:rsidR="00AF4432" w:rsidRPr="00A57B15" w:rsidRDefault="00AF4432" w:rsidP="00AF4432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A57B15">
        <w:rPr>
          <w:sz w:val="24"/>
          <w:szCs w:val="24"/>
        </w:rPr>
        <w:t>Завершение строительства многоэтажного жилого дома в квартале №2, участок № 74 (ЖК «Солнце»).</w:t>
      </w:r>
    </w:p>
    <w:p w:rsidR="00AF4432" w:rsidRPr="00A57B15" w:rsidRDefault="00AF4432" w:rsidP="00AF4432">
      <w:pPr>
        <w:ind w:firstLine="567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с Федеральным законом от 29.07.2017 N 218-ФЗ "О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на данный момент проведена оценка стоимости завершения строительства многоквартирных жилых домов расположенных на земельных участках с кадастровыми номерами 47:15:0107004:99;</w:t>
      </w:r>
      <w:proofErr w:type="gramEnd"/>
      <w:r w:rsidRPr="00A57B15">
        <w:rPr>
          <w:sz w:val="24"/>
          <w:szCs w:val="24"/>
        </w:rPr>
        <w:t xml:space="preserve"> 47:15:0107004:93 (ЖК «Солнце»), документы переданы в «Фонд защиты прав граждан – участников долевого строительства Ленинградской области». Ожидается решение о завершения строительства многоквартирных жилых домов либо о выплате компенсации.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Продолжится строительства малоэтажной застройки жилых домов блокированного типа в городском квартале 2Б, ЖСК «Металлооптика».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рамках выполнения подпрограммы «Развитие градостроительной деятельности на территории Сосновоборского городского округа на 2014-2024 годы» муниципальной программы Сосновоборского городского округа «Городское хозяйство на 2014-2024 годы» в 2020 году планируется следующее: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подготовке проектов межевания территории 3-го и 8-го микрорайонов;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выполнению инженерных изысканий и подготовку проекта межевания территории микрорайона № 4, № 4А, № 4Б;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выполнению описания местоположения границ территориальных зон Сосновоборского городского округа;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территориальному планированию и планировке территории  Сосновоборского городского округа (в целях приведения в соответствие Правил землепользования и застройки Сосновоборского городского округа Генеральному плану Сосновоборского городского округа);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разработка эскизных проектов благоустройства общественной территории Сосновоборского городского округа </w:t>
      </w:r>
      <w:r w:rsidRPr="00A57B15">
        <w:rPr>
          <w:bCs/>
          <w:sz w:val="24"/>
          <w:szCs w:val="24"/>
          <w:lang w:eastAsia="ar-SA"/>
        </w:rPr>
        <w:t>вдоль жилых домов № 29, 29А по пр</w:t>
      </w:r>
      <w:proofErr w:type="gramStart"/>
      <w:r w:rsidRPr="00A57B15">
        <w:rPr>
          <w:bCs/>
          <w:sz w:val="24"/>
          <w:szCs w:val="24"/>
          <w:lang w:eastAsia="ar-SA"/>
        </w:rPr>
        <w:t>.Г</w:t>
      </w:r>
      <w:proofErr w:type="gramEnd"/>
      <w:r w:rsidRPr="00A57B15">
        <w:rPr>
          <w:bCs/>
          <w:sz w:val="24"/>
          <w:szCs w:val="24"/>
          <w:lang w:eastAsia="ar-SA"/>
        </w:rPr>
        <w:t>ероев,</w:t>
      </w:r>
      <w:r w:rsidRPr="00A57B15">
        <w:rPr>
          <w:sz w:val="24"/>
          <w:szCs w:val="24"/>
        </w:rPr>
        <w:t xml:space="preserve">                                   ул. Соколова; 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выполнение инженерно-топографической съемки земельного участка под проектирование объекта «Проект благоустройства южной части парка Приморский и входной группы городского пляжа», «Проект благоустройства ул</w:t>
      </w:r>
      <w:proofErr w:type="gramStart"/>
      <w:r w:rsidRPr="00A57B15">
        <w:rPr>
          <w:sz w:val="24"/>
          <w:szCs w:val="24"/>
        </w:rPr>
        <w:t>.С</w:t>
      </w:r>
      <w:proofErr w:type="gramEnd"/>
      <w:r w:rsidRPr="00A57B15">
        <w:rPr>
          <w:sz w:val="24"/>
          <w:szCs w:val="24"/>
        </w:rPr>
        <w:t>околова»;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выполнение инженерных изысканий и подготовка документации по планировке территорий микрорайонов № 9, № 7, территорий Ручьи, Искра;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Pr="00A57B15">
        <w:rPr>
          <w:sz w:val="24"/>
          <w:szCs w:val="24"/>
          <w:shd w:val="clear" w:color="auto" w:fill="FFFFFF"/>
        </w:rPr>
        <w:t xml:space="preserve"> </w:t>
      </w:r>
      <w:r w:rsidRPr="00A57B15">
        <w:rPr>
          <w:sz w:val="24"/>
          <w:szCs w:val="24"/>
        </w:rPr>
        <w:t xml:space="preserve">выполнение инженерных изысканий территории микрорайона </w:t>
      </w:r>
      <w:proofErr w:type="gramStart"/>
      <w:r w:rsidRPr="00A57B15">
        <w:rPr>
          <w:sz w:val="24"/>
          <w:szCs w:val="24"/>
        </w:rPr>
        <w:t>Приморский</w:t>
      </w:r>
      <w:proofErr w:type="gramEnd"/>
      <w:r w:rsidRPr="00A57B15">
        <w:rPr>
          <w:sz w:val="24"/>
          <w:szCs w:val="24"/>
        </w:rPr>
        <w:t>.</w:t>
      </w:r>
    </w:p>
    <w:p w:rsidR="00AF4432" w:rsidRPr="00A57B15" w:rsidRDefault="00AF4432" w:rsidP="00AF4432">
      <w:pPr>
        <w:ind w:firstLine="720"/>
        <w:rPr>
          <w:sz w:val="24"/>
          <w:szCs w:val="24"/>
        </w:rPr>
      </w:pP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Прогноз на 2021-2023 годы.</w:t>
      </w:r>
    </w:p>
    <w:p w:rsidR="00AF4432" w:rsidRPr="00A57B15" w:rsidRDefault="00AF4432" w:rsidP="00AF44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Целью выполнения подпрограммы «Развитие градостроительной деятельности на территории Сосновоборского городского округа на 2014-2024 годы» муниципальной программы Сосновоборского городского округа «Городское хозяйство на 2014-2024 годы» является повышение инвестиционной привлекательности территории Сосновоборского городского округа. Подпрограмма определяет основные направления градостроительной </w:t>
      </w:r>
      <w:r w:rsidRPr="00A57B15">
        <w:rPr>
          <w:sz w:val="24"/>
          <w:szCs w:val="24"/>
        </w:rPr>
        <w:lastRenderedPageBreak/>
        <w:t>деятельности по обеспечению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рамках выполнения подпрограммы продолжится выполнение работ по разработке проектов межевания микрорайонов Сосновоборского городского округа и р</w:t>
      </w:r>
      <w:r w:rsidRPr="00A57B15">
        <w:rPr>
          <w:rFonts w:eastAsia="Calibri"/>
          <w:sz w:val="24"/>
          <w:szCs w:val="24"/>
          <w:lang w:eastAsia="en-US"/>
        </w:rPr>
        <w:t>азвитию информационной системы обеспечения градостроительной деятельности Сосновоборского городского округа</w:t>
      </w:r>
      <w:r w:rsidRPr="00A57B15">
        <w:rPr>
          <w:sz w:val="24"/>
          <w:szCs w:val="24"/>
        </w:rPr>
        <w:t>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Планируется продолжение работ по внесению в Единый государственный реестр недвижимости сведений о местоположении границ территориальных зон, установленных Правилам землепользования и застройки Сосновоборского городского округа.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прогнозируемом периоде продолжится строительство объектов индивидуального жилищного строительства общей площадью 15000 кв.м. 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Планируется строительство следующих объектов социальной сферы: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детского дошкольного учреждения на 240 мест в 7 микрорайоне города;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городского музея общей площадью 1000 кв. м;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информационного центра ЛАЭС в районе СКК «Энергетик»;</w:t>
      </w:r>
    </w:p>
    <w:p w:rsidR="00AF4432" w:rsidRPr="00A57B15" w:rsidRDefault="00AF4432" w:rsidP="00AF4432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спортивно-гостиничного комплекса (ул. Соколова, д.15, д.19).</w:t>
      </w:r>
    </w:p>
    <w:p w:rsidR="00AF4432" w:rsidRPr="00A57B15" w:rsidRDefault="00AF4432" w:rsidP="00AF4432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Строительство индивидуальных жилых домов на земельных участках, предлагаемых администрацией Сосновоборского городского округа к реализации через аукцион, частично удовлетворит потребность города в малоэтажной застройке.</w:t>
      </w:r>
    </w:p>
    <w:p w:rsidR="00AF4432" w:rsidRPr="00A57B15" w:rsidRDefault="00AF4432" w:rsidP="00AF443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0"/>
        <w:gridCol w:w="4203"/>
      </w:tblGrid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Основные проблемы</w:t>
            </w:r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Предполагаемые пути решения</w:t>
            </w:r>
          </w:p>
        </w:tc>
      </w:tr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Многие решения утвержденных проектов планировки и межевания, финансирование по которым должно осуществляться муниципалитетом, не реализуются.</w:t>
            </w:r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дополнительное финансирование на разработку рабочей документации и строительство инженерной и дорожно-транспортной инфраструктуры</w:t>
            </w:r>
          </w:p>
        </w:tc>
      </w:tr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Устаревшая топографическая съемка города (1996 год)</w:t>
            </w:r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актуализация топографической основы</w:t>
            </w:r>
          </w:p>
        </w:tc>
      </w:tr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A57B15">
              <w:rPr>
                <w:sz w:val="24"/>
                <w:szCs w:val="24"/>
              </w:rPr>
              <w:t>проектов межевания территории большинства микрорайонов города</w:t>
            </w:r>
            <w:proofErr w:type="gramEnd"/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дополнительное финансирование на разработку проектной документации</w:t>
            </w:r>
          </w:p>
        </w:tc>
      </w:tr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Территориальные зоны поставлены на государственный кадастровый учет не в полном объеме </w:t>
            </w:r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Продолжение работ по постановке на государственный кадастровый учет территориальных зон</w:t>
            </w:r>
          </w:p>
        </w:tc>
      </w:tr>
      <w:tr w:rsidR="00AF4432" w:rsidRPr="00A57B15" w:rsidTr="00AE7EE2"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Уточнение местоположения границ земельных участков.</w:t>
            </w:r>
          </w:p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Образование земельных участков, на которых расположены здания</w:t>
            </w:r>
            <w:r w:rsidRPr="00A57B15">
              <w:rPr>
                <w:rFonts w:eastAsia="Calibri"/>
                <w:sz w:val="24"/>
                <w:szCs w:val="24"/>
                <w:lang w:eastAsia="en-US"/>
              </w:rPr>
              <w:t>, в том числе многоквартирные дома,</w:t>
            </w:r>
            <w:r w:rsidRPr="00A57B15">
              <w:rPr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AF4432" w:rsidRPr="00A57B15" w:rsidRDefault="00AF4432" w:rsidP="00837C5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7B15">
              <w:rPr>
                <w:sz w:val="24"/>
                <w:szCs w:val="24"/>
              </w:rPr>
              <w:t xml:space="preserve">Образование земельных участков общего пользования, занятых улицами, проездами, скверами </w:t>
            </w:r>
            <w:r w:rsidRPr="00A57B15">
              <w:rPr>
                <w:rFonts w:eastAsia="Calibri"/>
                <w:sz w:val="24"/>
                <w:szCs w:val="24"/>
                <w:lang w:eastAsia="en-US"/>
              </w:rPr>
              <w:t>и другими объектами.</w:t>
            </w:r>
          </w:p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Исправление реестровых ошибок в сведениях о местоположении границ объектов недвижимости.</w:t>
            </w:r>
          </w:p>
        </w:tc>
        <w:tc>
          <w:tcPr>
            <w:tcW w:w="0" w:type="auto"/>
          </w:tcPr>
          <w:p w:rsidR="00AF4432" w:rsidRPr="00A57B15" w:rsidRDefault="00AF4432" w:rsidP="00837C52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проведение комплексных кадастровых работ с привлечением средств бюджета Ленинградской области</w:t>
            </w:r>
          </w:p>
        </w:tc>
      </w:tr>
    </w:tbl>
    <w:p w:rsidR="00AF4432" w:rsidRPr="00A57B15" w:rsidRDefault="00AF4432" w:rsidP="00AF4432">
      <w:pPr>
        <w:ind w:firstLine="709"/>
        <w:rPr>
          <w:sz w:val="24"/>
          <w:szCs w:val="24"/>
        </w:rPr>
      </w:pPr>
    </w:p>
    <w:p w:rsidR="00AF4432" w:rsidRPr="00A57B15" w:rsidRDefault="00AF4432" w:rsidP="00AF4432">
      <w:pPr>
        <w:pStyle w:val="ConsPlusNormal"/>
        <w:keepNext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Стратегические цели и задачи на период до 2024 года </w:t>
      </w:r>
      <w:r w:rsidRPr="00A57B15">
        <w:rPr>
          <w:rFonts w:ascii="Times New Roman" w:hAnsi="Times New Roman" w:cs="Times New Roman"/>
          <w:sz w:val="24"/>
          <w:szCs w:val="24"/>
        </w:rPr>
        <w:t>согласно Указу Президента РФ от 07.05.2018 № 204 «О национальных целях и стратегических задачах развития Российской Федерации на период до 2024 года»:</w:t>
      </w:r>
    </w:p>
    <w:p w:rsidR="00AF4432" w:rsidRPr="00A57B15" w:rsidRDefault="00AF4432" w:rsidP="00AF443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17"/>
      </w:tblGrid>
      <w:tr w:rsidR="00AF4432" w:rsidRPr="00A57B15" w:rsidTr="00AF4432">
        <w:tc>
          <w:tcPr>
            <w:tcW w:w="3828" w:type="dxa"/>
            <w:vAlign w:val="center"/>
          </w:tcPr>
          <w:p w:rsidR="00AF4432" w:rsidRPr="00A57B15" w:rsidRDefault="00AF4432" w:rsidP="00AF443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национального проекта в сфере  жилья и городской среды</w:t>
            </w:r>
          </w:p>
        </w:tc>
        <w:tc>
          <w:tcPr>
            <w:tcW w:w="5917" w:type="dxa"/>
            <w:vAlign w:val="center"/>
          </w:tcPr>
          <w:p w:rsidR="00AF4432" w:rsidRPr="00A57B15" w:rsidRDefault="00AF4432" w:rsidP="00AF4432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Решение следующих задач:</w:t>
            </w:r>
          </w:p>
        </w:tc>
      </w:tr>
      <w:tr w:rsidR="00AF4432" w:rsidRPr="00A57B15" w:rsidTr="00AF4432">
        <w:tc>
          <w:tcPr>
            <w:tcW w:w="3828" w:type="dxa"/>
          </w:tcPr>
          <w:p w:rsidR="00AF4432" w:rsidRPr="00A57B15" w:rsidRDefault="00AF4432" w:rsidP="0083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а) увеличение объема жилищного строительства;</w:t>
            </w:r>
          </w:p>
          <w:p w:rsidR="00AF4432" w:rsidRPr="00A57B15" w:rsidRDefault="00AF4432" w:rsidP="00837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б) кардинальное повышение комфортности городской среды, повышение индекса качества городской среды на 30 процентов;</w:t>
            </w:r>
          </w:p>
          <w:p w:rsidR="00AF4432" w:rsidRPr="00A57B15" w:rsidRDefault="00AF4432" w:rsidP="00837C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в)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  <w:tc>
          <w:tcPr>
            <w:tcW w:w="5917" w:type="dxa"/>
          </w:tcPr>
          <w:p w:rsidR="00AF4432" w:rsidRPr="00A57B15" w:rsidRDefault="00AF4432" w:rsidP="00837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а) 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AF4432" w:rsidRPr="00A57B15" w:rsidRDefault="00AF4432" w:rsidP="00837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б)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  <w:p w:rsidR="00AF4432" w:rsidRPr="00A57B15" w:rsidRDefault="00AF4432" w:rsidP="00837C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в)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 </w:t>
            </w:r>
          </w:p>
        </w:tc>
      </w:tr>
    </w:tbl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055331">
      <w:pPr>
        <w:pStyle w:val="3"/>
      </w:pPr>
      <w:bookmarkStart w:id="15" w:name="_Toc267584898"/>
      <w:bookmarkStart w:id="16" w:name="_Toc302389707"/>
      <w:bookmarkStart w:id="17" w:name="_Toc52186974"/>
      <w:r w:rsidRPr="00A57B15">
        <w:t xml:space="preserve">5. </w:t>
      </w:r>
      <w:bookmarkEnd w:id="15"/>
      <w:r w:rsidRPr="00A57B15">
        <w:t>Развитие экономики по отраслям</w:t>
      </w:r>
      <w:bookmarkEnd w:id="16"/>
      <w:bookmarkEnd w:id="17"/>
    </w:p>
    <w:p w:rsidR="009C4AF0" w:rsidRPr="00A57B15" w:rsidRDefault="009C4AF0" w:rsidP="009C4AF0">
      <w:pPr>
        <w:rPr>
          <w:sz w:val="28"/>
          <w:szCs w:val="28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18" w:name="_Toc267584900"/>
      <w:bookmarkStart w:id="19" w:name="_Toc52186975"/>
      <w:bookmarkEnd w:id="13"/>
      <w:r w:rsidRPr="00A57B15">
        <w:rPr>
          <w:color w:val="auto"/>
        </w:rPr>
        <w:t>5.1. Промышленность</w:t>
      </w:r>
      <w:bookmarkEnd w:id="18"/>
      <w:bookmarkEnd w:id="19"/>
    </w:p>
    <w:p w:rsidR="009C4AF0" w:rsidRPr="00A57B15" w:rsidRDefault="009C4AF0" w:rsidP="009C4AF0">
      <w:pPr>
        <w:keepNext/>
        <w:ind w:firstLine="708"/>
        <w:jc w:val="both"/>
        <w:rPr>
          <w:sz w:val="24"/>
          <w:szCs w:val="24"/>
        </w:rPr>
      </w:pPr>
    </w:p>
    <w:p w:rsidR="009C4AF0" w:rsidRPr="00A57B15" w:rsidRDefault="009C4AF0" w:rsidP="009C4AF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</w:t>
      </w:r>
      <w:r w:rsidR="00492F5B" w:rsidRPr="00A57B15">
        <w:rPr>
          <w:b/>
          <w:bCs/>
          <w:sz w:val="24"/>
          <w:szCs w:val="24"/>
        </w:rPr>
        <w:t>20</w:t>
      </w:r>
      <w:r w:rsidRPr="00A57B15">
        <w:rPr>
          <w:b/>
          <w:bCs/>
          <w:sz w:val="24"/>
          <w:szCs w:val="24"/>
        </w:rPr>
        <w:t xml:space="preserve"> года.</w:t>
      </w:r>
    </w:p>
    <w:p w:rsidR="009C4AF0" w:rsidRPr="00A57B15" w:rsidRDefault="009C4AF0" w:rsidP="009C4AF0">
      <w:pPr>
        <w:ind w:firstLine="708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Производство и распределение электроэнергии, газа и воды.</w:t>
      </w:r>
    </w:p>
    <w:p w:rsidR="009C4AF0" w:rsidRPr="00A57B15" w:rsidRDefault="009C4AF0" w:rsidP="009C4AF0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В дан</w:t>
      </w:r>
      <w:r w:rsidR="00CA48B4">
        <w:rPr>
          <w:sz w:val="24"/>
          <w:szCs w:val="24"/>
        </w:rPr>
        <w:t xml:space="preserve">ной сфере функционируют Филиал </w:t>
      </w:r>
      <w:r w:rsidRPr="00A57B15">
        <w:rPr>
          <w:sz w:val="24"/>
          <w:szCs w:val="24"/>
        </w:rPr>
        <w:t>АО "Концерн Росэнергоатом"  "Ленинградская атомная станция"</w:t>
      </w:r>
      <w:r w:rsidRPr="00A57B15">
        <w:rPr>
          <w:snapToGrid w:val="0"/>
          <w:sz w:val="24"/>
        </w:rPr>
        <w:t>; СМУП «Теплоснабжающее предприятие»; «</w:t>
      </w:r>
      <w:proofErr w:type="spellStart"/>
      <w:r w:rsidRPr="00A57B15">
        <w:rPr>
          <w:snapToGrid w:val="0"/>
          <w:sz w:val="24"/>
        </w:rPr>
        <w:t>ЛенАЭР</w:t>
      </w:r>
      <w:proofErr w:type="spellEnd"/>
      <w:r w:rsidRPr="00A57B15">
        <w:rPr>
          <w:snapToGrid w:val="0"/>
          <w:sz w:val="24"/>
        </w:rPr>
        <w:t>» - филиал ОАО «</w:t>
      </w:r>
      <w:proofErr w:type="spellStart"/>
      <w:r w:rsidRPr="00A57B15">
        <w:rPr>
          <w:snapToGrid w:val="0"/>
          <w:sz w:val="24"/>
        </w:rPr>
        <w:t>Атомэнергоремонт</w:t>
      </w:r>
      <w:proofErr w:type="spellEnd"/>
      <w:r w:rsidRPr="00A57B15">
        <w:rPr>
          <w:snapToGrid w:val="0"/>
          <w:sz w:val="24"/>
        </w:rPr>
        <w:t>».</w:t>
      </w:r>
    </w:p>
    <w:p w:rsidR="009C4AF0" w:rsidRPr="00A57B15" w:rsidRDefault="009C4AF0" w:rsidP="009C4AF0">
      <w:pPr>
        <w:ind w:firstLine="708"/>
        <w:jc w:val="both"/>
        <w:rPr>
          <w:b/>
          <w:strike/>
          <w:sz w:val="24"/>
          <w:szCs w:val="24"/>
        </w:rPr>
      </w:pPr>
      <w:r w:rsidRPr="00A57B15">
        <w:rPr>
          <w:sz w:val="24"/>
          <w:szCs w:val="24"/>
        </w:rPr>
        <w:t>По данным предприятий ожидается производство электроэнергии в количестве 2</w:t>
      </w:r>
      <w:r w:rsidR="00665147" w:rsidRPr="00A57B15">
        <w:rPr>
          <w:sz w:val="24"/>
          <w:szCs w:val="24"/>
        </w:rPr>
        <w:t>7300</w:t>
      </w:r>
      <w:r w:rsidRPr="00A57B15">
        <w:rPr>
          <w:sz w:val="24"/>
          <w:szCs w:val="24"/>
        </w:rPr>
        <w:t> млн. кВтч, что на</w:t>
      </w:r>
      <w:r w:rsidR="00665147" w:rsidRPr="00A57B15">
        <w:rPr>
          <w:sz w:val="24"/>
          <w:szCs w:val="24"/>
        </w:rPr>
        <w:t xml:space="preserve"> 4,3</w:t>
      </w:r>
      <w:r w:rsidRPr="00A57B15">
        <w:rPr>
          <w:sz w:val="24"/>
          <w:szCs w:val="24"/>
        </w:rPr>
        <w:t xml:space="preserve"> % меньше, чем в 201</w:t>
      </w:r>
      <w:r w:rsidR="00665147" w:rsidRPr="00A57B15">
        <w:rPr>
          <w:sz w:val="24"/>
          <w:szCs w:val="24"/>
        </w:rPr>
        <w:t>9</w:t>
      </w:r>
      <w:r w:rsidRPr="00A57B15">
        <w:rPr>
          <w:sz w:val="24"/>
          <w:szCs w:val="24"/>
        </w:rPr>
        <w:t xml:space="preserve"> году, выработка </w:t>
      </w:r>
      <w:proofErr w:type="spellStart"/>
      <w:r w:rsidRPr="00A57B15">
        <w:rPr>
          <w:sz w:val="24"/>
          <w:szCs w:val="24"/>
        </w:rPr>
        <w:t>теплоэнергии</w:t>
      </w:r>
      <w:proofErr w:type="spellEnd"/>
      <w:r w:rsidRPr="00A57B15">
        <w:rPr>
          <w:sz w:val="24"/>
          <w:szCs w:val="24"/>
        </w:rPr>
        <w:t xml:space="preserve"> превысит на</w:t>
      </w:r>
      <w:r w:rsidR="00614975" w:rsidRPr="00A57B15">
        <w:rPr>
          <w:sz w:val="24"/>
          <w:szCs w:val="24"/>
        </w:rPr>
        <w:t> 5,7</w:t>
      </w:r>
      <w:r w:rsidRPr="00A57B15">
        <w:rPr>
          <w:sz w:val="24"/>
          <w:szCs w:val="24"/>
        </w:rPr>
        <w:t xml:space="preserve"> %  уровень 201</w:t>
      </w:r>
      <w:r w:rsidR="00614975" w:rsidRPr="00A57B15">
        <w:rPr>
          <w:sz w:val="24"/>
          <w:szCs w:val="24"/>
        </w:rPr>
        <w:t>9</w:t>
      </w:r>
      <w:r w:rsidRPr="00A57B15">
        <w:rPr>
          <w:sz w:val="24"/>
          <w:szCs w:val="24"/>
        </w:rPr>
        <w:t xml:space="preserve"> года и составит </w:t>
      </w:r>
      <w:r w:rsidR="00614975" w:rsidRPr="00A57B15">
        <w:rPr>
          <w:sz w:val="24"/>
          <w:szCs w:val="24"/>
        </w:rPr>
        <w:t>904,15</w:t>
      </w:r>
      <w:r w:rsidRPr="00A57B15">
        <w:rPr>
          <w:sz w:val="24"/>
          <w:szCs w:val="24"/>
        </w:rPr>
        <w:t xml:space="preserve"> тыс. Гкал.</w:t>
      </w:r>
      <w:r w:rsidRPr="00A57B15">
        <w:rPr>
          <w:strike/>
          <w:snapToGrid w:val="0"/>
          <w:sz w:val="24"/>
          <w:szCs w:val="24"/>
        </w:rPr>
        <w:t xml:space="preserve"> </w:t>
      </w:r>
    </w:p>
    <w:p w:rsidR="009C4AF0" w:rsidRPr="00A57B15" w:rsidRDefault="009C4AF0" w:rsidP="009C4AF0">
      <w:pPr>
        <w:ind w:right="-1" w:firstLine="708"/>
        <w:jc w:val="both"/>
      </w:pPr>
      <w:r w:rsidRPr="00A57B15">
        <w:rPr>
          <w:noProof/>
        </w:rPr>
        <w:drawing>
          <wp:inline distT="0" distB="0" distL="0" distR="0">
            <wp:extent cx="4953000" cy="1866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4AF0" w:rsidRPr="00A57B15" w:rsidRDefault="009C021A" w:rsidP="009C4AF0">
      <w:pPr>
        <w:pStyle w:val="36"/>
        <w:shd w:val="clear" w:color="auto" w:fill="auto"/>
        <w:spacing w:line="240" w:lineRule="auto"/>
        <w:ind w:firstLine="708"/>
        <w:jc w:val="both"/>
        <w:rPr>
          <w:color w:val="auto"/>
          <w:spacing w:val="0"/>
        </w:rPr>
      </w:pPr>
      <w:r w:rsidRPr="00A57B15">
        <w:rPr>
          <w:color w:val="auto"/>
          <w:spacing w:val="0"/>
        </w:rPr>
        <w:t>Ожидается, что о</w:t>
      </w:r>
      <w:r w:rsidR="009C4AF0" w:rsidRPr="00A57B15">
        <w:rPr>
          <w:color w:val="auto"/>
          <w:spacing w:val="0"/>
        </w:rPr>
        <w:t xml:space="preserve">бъем отгруженной продукции по выработке электроэнергии </w:t>
      </w:r>
      <w:r w:rsidRPr="00A57B15">
        <w:rPr>
          <w:color w:val="auto"/>
          <w:spacing w:val="0"/>
        </w:rPr>
        <w:t>составит</w:t>
      </w:r>
      <w:r w:rsidR="009C4AF0" w:rsidRPr="00A57B15">
        <w:rPr>
          <w:color w:val="auto"/>
          <w:spacing w:val="0"/>
        </w:rPr>
        <w:t xml:space="preserve"> 7</w:t>
      </w:r>
      <w:r w:rsidR="0097297B" w:rsidRPr="00A57B15">
        <w:rPr>
          <w:color w:val="auto"/>
          <w:spacing w:val="0"/>
        </w:rPr>
        <w:t>8005</w:t>
      </w:r>
      <w:r w:rsidR="009C4AF0" w:rsidRPr="00A57B15">
        <w:rPr>
          <w:color w:val="auto"/>
          <w:spacing w:val="0"/>
        </w:rPr>
        <w:t xml:space="preserve"> млн. руб., </w:t>
      </w:r>
      <w:r w:rsidR="0097297B" w:rsidRPr="00A57B15">
        <w:rPr>
          <w:color w:val="auto"/>
          <w:spacing w:val="0"/>
        </w:rPr>
        <w:t>сохранится уровень предыдущего года (превышение</w:t>
      </w:r>
      <w:r w:rsidRPr="00A57B15">
        <w:rPr>
          <w:color w:val="auto"/>
          <w:spacing w:val="0"/>
        </w:rPr>
        <w:t xml:space="preserve"> незначительное</w:t>
      </w:r>
      <w:r w:rsidR="0097297B" w:rsidRPr="00A57B15">
        <w:rPr>
          <w:color w:val="auto"/>
          <w:spacing w:val="0"/>
        </w:rPr>
        <w:t xml:space="preserve"> на</w:t>
      </w:r>
      <w:r w:rsidRPr="00A57B15">
        <w:rPr>
          <w:color w:val="auto"/>
          <w:spacing w:val="0"/>
        </w:rPr>
        <w:t> </w:t>
      </w:r>
      <w:r w:rsidR="0097297B" w:rsidRPr="00A57B15">
        <w:rPr>
          <w:color w:val="auto"/>
          <w:spacing w:val="0"/>
        </w:rPr>
        <w:t xml:space="preserve"> 0,5</w:t>
      </w:r>
      <w:r w:rsidRPr="00A57B15">
        <w:rPr>
          <w:color w:val="auto"/>
          <w:spacing w:val="0"/>
        </w:rPr>
        <w:t> </w:t>
      </w:r>
      <w:r w:rsidR="0097297B" w:rsidRPr="00A57B15">
        <w:rPr>
          <w:color w:val="auto"/>
          <w:spacing w:val="0"/>
        </w:rPr>
        <w:t>%).</w:t>
      </w:r>
      <w:r w:rsidR="009C4AF0" w:rsidRPr="00A57B15">
        <w:rPr>
          <w:color w:val="auto"/>
          <w:spacing w:val="0"/>
        </w:rPr>
        <w:t xml:space="preserve"> </w:t>
      </w:r>
    </w:p>
    <w:p w:rsidR="009C4AF0" w:rsidRPr="00A57B15" w:rsidRDefault="009C4AF0" w:rsidP="009C4AF0">
      <w:pPr>
        <w:ind w:right="-1" w:firstLine="708"/>
        <w:jc w:val="both"/>
        <w:rPr>
          <w:sz w:val="24"/>
          <w:szCs w:val="24"/>
        </w:rPr>
      </w:pPr>
    </w:p>
    <w:p w:rsidR="009C4AF0" w:rsidRPr="00A57B15" w:rsidRDefault="009C4AF0" w:rsidP="009C4AF0">
      <w:pPr>
        <w:tabs>
          <w:tab w:val="left" w:pos="720"/>
        </w:tabs>
        <w:ind w:right="71"/>
        <w:jc w:val="both"/>
        <w:rPr>
          <w:sz w:val="24"/>
          <w:szCs w:val="24"/>
        </w:rPr>
      </w:pPr>
      <w:r w:rsidRPr="00A57B15">
        <w:rPr>
          <w:iCs/>
          <w:sz w:val="24"/>
          <w:szCs w:val="24"/>
        </w:rPr>
        <w:lastRenderedPageBreak/>
        <w:tab/>
      </w:r>
      <w:r w:rsidR="00AA376D" w:rsidRPr="00A57B15">
        <w:rPr>
          <w:iCs/>
          <w:sz w:val="24"/>
          <w:szCs w:val="24"/>
        </w:rPr>
        <w:t>О</w:t>
      </w:r>
      <w:r w:rsidRPr="00A57B15">
        <w:rPr>
          <w:sz w:val="24"/>
          <w:szCs w:val="24"/>
        </w:rPr>
        <w:t>бъем отгруженной продукции по крупным и средним организациям в виде экономической деятельности «</w:t>
      </w:r>
      <w:r w:rsidRPr="00A57B15">
        <w:rPr>
          <w:b/>
          <w:sz w:val="24"/>
          <w:szCs w:val="24"/>
        </w:rPr>
        <w:t>обрабатывающие производства</w:t>
      </w:r>
      <w:r w:rsidR="006078E7" w:rsidRPr="00A57B15">
        <w:rPr>
          <w:sz w:val="24"/>
          <w:szCs w:val="24"/>
        </w:rPr>
        <w:t xml:space="preserve">» </w:t>
      </w:r>
      <w:r w:rsidR="00AA376D" w:rsidRPr="00A57B15">
        <w:rPr>
          <w:sz w:val="24"/>
          <w:szCs w:val="24"/>
        </w:rPr>
        <w:t xml:space="preserve">составит </w:t>
      </w:r>
      <w:r w:rsidR="00FC0451" w:rsidRPr="00A57B15">
        <w:rPr>
          <w:sz w:val="24"/>
          <w:szCs w:val="24"/>
        </w:rPr>
        <w:t>5182</w:t>
      </w:r>
      <w:r w:rsidRPr="00A57B15">
        <w:rPr>
          <w:sz w:val="24"/>
          <w:szCs w:val="24"/>
        </w:rPr>
        <w:t xml:space="preserve"> млн. руб., что составляет </w:t>
      </w:r>
      <w:r w:rsidR="00FC0451" w:rsidRPr="00A57B15">
        <w:rPr>
          <w:sz w:val="24"/>
          <w:szCs w:val="24"/>
        </w:rPr>
        <w:t>92,9</w:t>
      </w:r>
      <w:r w:rsidRPr="00A57B15">
        <w:rPr>
          <w:sz w:val="24"/>
          <w:szCs w:val="24"/>
        </w:rPr>
        <w:t xml:space="preserve"> % уровня 201</w:t>
      </w:r>
      <w:r w:rsidR="006078E7" w:rsidRPr="00A57B15">
        <w:rPr>
          <w:sz w:val="24"/>
          <w:szCs w:val="24"/>
        </w:rPr>
        <w:t>9</w:t>
      </w:r>
      <w:r w:rsidRPr="00A57B15">
        <w:rPr>
          <w:sz w:val="24"/>
          <w:szCs w:val="24"/>
        </w:rPr>
        <w:t xml:space="preserve"> года</w:t>
      </w:r>
      <w:r w:rsidR="006078E7" w:rsidRPr="00A57B1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в сопоставимых ценах. </w:t>
      </w:r>
    </w:p>
    <w:p w:rsidR="009C4AF0" w:rsidRPr="00A57B15" w:rsidRDefault="000561F2" w:rsidP="00E4201F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A57B15">
        <w:rPr>
          <w:b/>
          <w:sz w:val="24"/>
          <w:szCs w:val="24"/>
        </w:rPr>
        <w:t>"Водоснабжение; водоотведение, организация сбора и утилизации отходов, деятельность по ликвидации загрязнений»</w:t>
      </w:r>
      <w:r w:rsidRPr="00A57B15">
        <w:rPr>
          <w:sz w:val="24"/>
          <w:szCs w:val="24"/>
        </w:rPr>
        <w:t xml:space="preserve"> </w:t>
      </w:r>
      <w:r w:rsidRPr="00A57B15">
        <w:rPr>
          <w:snapToGrid w:val="0"/>
          <w:sz w:val="24"/>
        </w:rPr>
        <w:t>по данному виду деятельности</w:t>
      </w:r>
      <w:r w:rsidRPr="00A57B15">
        <w:rPr>
          <w:sz w:val="24"/>
          <w:szCs w:val="24"/>
        </w:rPr>
        <w:t xml:space="preserve"> в 2020 году составит</w:t>
      </w:r>
      <w:r w:rsidRPr="00A57B15">
        <w:rPr>
          <w:snapToGrid w:val="0"/>
          <w:sz w:val="24"/>
        </w:rPr>
        <w:t xml:space="preserve"> 761  млн. руб</w:t>
      </w:r>
      <w:r w:rsidRPr="00A57B15">
        <w:rPr>
          <w:sz w:val="24"/>
          <w:szCs w:val="24"/>
        </w:rPr>
        <w:t>. в текущих ценах</w:t>
      </w:r>
      <w:r w:rsidR="00E807FF" w:rsidRPr="00A57B15">
        <w:rPr>
          <w:snapToGrid w:val="0"/>
          <w:sz w:val="24"/>
        </w:rPr>
        <w:t>, что составляет 74,7 % к уровню 2019 года.</w:t>
      </w:r>
      <w:r w:rsidR="00CE7659" w:rsidRPr="00A57B15">
        <w:rPr>
          <w:snapToGrid w:val="0"/>
          <w:sz w:val="24"/>
        </w:rPr>
        <w:t xml:space="preserve"> Снижение</w:t>
      </w:r>
      <w:r w:rsidR="000F66C5" w:rsidRPr="00A57B15">
        <w:rPr>
          <w:snapToGrid w:val="0"/>
          <w:sz w:val="24"/>
        </w:rPr>
        <w:t xml:space="preserve"> по сравнению с предыдущим годом</w:t>
      </w:r>
      <w:r w:rsidR="00CE7659" w:rsidRPr="00A57B15">
        <w:rPr>
          <w:snapToGrid w:val="0"/>
          <w:sz w:val="24"/>
        </w:rPr>
        <w:t xml:space="preserve"> обусловлено значительным </w:t>
      </w:r>
      <w:r w:rsidR="00CE7659" w:rsidRPr="00A57B15">
        <w:rPr>
          <w:snapToGrid w:val="0"/>
          <w:sz w:val="24"/>
          <w:szCs w:val="24"/>
        </w:rPr>
        <w:t>объемом</w:t>
      </w:r>
      <w:r w:rsidR="000F66C5" w:rsidRPr="00A57B15"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6C5" w:rsidRPr="00A57B15">
        <w:rPr>
          <w:rStyle w:val="aff7"/>
          <w:rFonts w:eastAsiaTheme="majorEastAsia"/>
          <w:b w:val="0"/>
          <w:sz w:val="24"/>
          <w:szCs w:val="24"/>
          <w:shd w:val="clear" w:color="auto" w:fill="FFFFFF"/>
        </w:rPr>
        <w:t>услуг по переработке и утилизации металлических отходов</w:t>
      </w:r>
      <w:r w:rsidR="000F66C5" w:rsidRPr="00A57B15">
        <w:rPr>
          <w:b/>
          <w:sz w:val="24"/>
          <w:szCs w:val="24"/>
          <w:shd w:val="clear" w:color="auto" w:fill="FFFFFF"/>
        </w:rPr>
        <w:t xml:space="preserve">, </w:t>
      </w:r>
      <w:r w:rsidR="000F66C5" w:rsidRPr="00A57B15">
        <w:rPr>
          <w:sz w:val="24"/>
          <w:szCs w:val="24"/>
          <w:shd w:val="clear" w:color="auto" w:fill="FFFFFF"/>
        </w:rPr>
        <w:t>загрязненных радиоактивными веществами, в целях уменьшения объема ТРО, направляемых на долговременное хранение (захоронение), и возврата металла в промышленность для неограниченного использования,</w:t>
      </w:r>
      <w:r w:rsidR="00CE7659" w:rsidRPr="00A57B15">
        <w:rPr>
          <w:snapToGrid w:val="0"/>
          <w:sz w:val="24"/>
          <w:szCs w:val="24"/>
        </w:rPr>
        <w:t xml:space="preserve"> выполненны</w:t>
      </w:r>
      <w:r w:rsidR="000F66C5" w:rsidRPr="00A57B15">
        <w:rPr>
          <w:snapToGrid w:val="0"/>
          <w:sz w:val="24"/>
          <w:szCs w:val="24"/>
        </w:rPr>
        <w:t>х</w:t>
      </w:r>
      <w:r w:rsidR="00CE7659" w:rsidRPr="00A57B15">
        <w:rPr>
          <w:snapToGrid w:val="0"/>
          <w:sz w:val="24"/>
          <w:szCs w:val="24"/>
        </w:rPr>
        <w:t xml:space="preserve"> в 2019 году.</w:t>
      </w:r>
      <w:r w:rsidRPr="00A57B15">
        <w:rPr>
          <w:snapToGrid w:val="0"/>
          <w:sz w:val="24"/>
          <w:szCs w:val="24"/>
        </w:rPr>
        <w:t xml:space="preserve"> </w:t>
      </w:r>
    </w:p>
    <w:p w:rsidR="00E4201F" w:rsidRPr="00A57B15" w:rsidRDefault="00E4201F" w:rsidP="00E4201F">
      <w:pPr>
        <w:ind w:firstLine="709"/>
        <w:jc w:val="both"/>
        <w:rPr>
          <w:b/>
          <w:bCs/>
          <w:sz w:val="24"/>
          <w:szCs w:val="24"/>
        </w:rPr>
      </w:pPr>
    </w:p>
    <w:p w:rsidR="009C4AF0" w:rsidRPr="00A57B15" w:rsidRDefault="009C4AF0" w:rsidP="009C4AF0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</w:t>
      </w:r>
      <w:r w:rsidR="00492F5B" w:rsidRPr="00A57B15">
        <w:rPr>
          <w:b/>
          <w:bCs/>
          <w:sz w:val="24"/>
          <w:szCs w:val="24"/>
        </w:rPr>
        <w:t>1</w:t>
      </w:r>
      <w:r w:rsidRPr="00A57B15">
        <w:rPr>
          <w:b/>
          <w:bCs/>
          <w:sz w:val="24"/>
          <w:szCs w:val="24"/>
        </w:rPr>
        <w:t>-202</w:t>
      </w:r>
      <w:r w:rsidR="00492F5B" w:rsidRPr="00A57B15">
        <w:rPr>
          <w:b/>
          <w:bCs/>
          <w:sz w:val="24"/>
          <w:szCs w:val="24"/>
        </w:rPr>
        <w:t>3</w:t>
      </w:r>
      <w:r w:rsidRPr="00A57B15">
        <w:rPr>
          <w:b/>
          <w:bCs/>
          <w:sz w:val="24"/>
          <w:szCs w:val="24"/>
        </w:rPr>
        <w:t xml:space="preserve"> годы.</w:t>
      </w:r>
    </w:p>
    <w:p w:rsidR="009C4AF0" w:rsidRPr="00A57B15" w:rsidRDefault="009C4AF0" w:rsidP="009C4AF0">
      <w:pPr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Обеспечение электроэнергией, газом и паром.</w:t>
      </w:r>
    </w:p>
    <w:p w:rsidR="009C4AF0" w:rsidRPr="00A57B15" w:rsidRDefault="009C4AF0" w:rsidP="009C4AF0">
      <w:pPr>
        <w:ind w:firstLine="709"/>
        <w:jc w:val="both"/>
        <w:rPr>
          <w:snapToGrid w:val="0"/>
          <w:sz w:val="24"/>
        </w:rPr>
      </w:pPr>
      <w:r w:rsidRPr="00A57B15">
        <w:rPr>
          <w:snapToGrid w:val="0"/>
          <w:sz w:val="24"/>
        </w:rPr>
        <w:t>Объем отгруженной продукции по данным предприятий составит в сопоставимых ценах к ожидаемому уровню предшествующих лет:</w:t>
      </w:r>
    </w:p>
    <w:p w:rsidR="009C4AF0" w:rsidRPr="00A57B15" w:rsidRDefault="009C4AF0" w:rsidP="009C4AF0">
      <w:pPr>
        <w:ind w:firstLine="709"/>
        <w:rPr>
          <w:snapToGrid w:val="0"/>
          <w:sz w:val="24"/>
        </w:rPr>
      </w:pPr>
      <w:r w:rsidRPr="00A57B15">
        <w:rPr>
          <w:snapToGrid w:val="0"/>
          <w:sz w:val="24"/>
        </w:rPr>
        <w:t xml:space="preserve">в 2021 году –  </w:t>
      </w:r>
      <w:r w:rsidR="00696F28" w:rsidRPr="00A57B15">
        <w:rPr>
          <w:snapToGrid w:val="0"/>
          <w:sz w:val="24"/>
        </w:rPr>
        <w:t>100 840</w:t>
      </w:r>
      <w:r w:rsidRPr="00A57B15">
        <w:rPr>
          <w:snapToGrid w:val="0"/>
          <w:sz w:val="24"/>
        </w:rPr>
        <w:t xml:space="preserve"> млн. руб. или 12</w:t>
      </w:r>
      <w:r w:rsidR="00696F28" w:rsidRPr="00A57B15">
        <w:rPr>
          <w:snapToGrid w:val="0"/>
          <w:sz w:val="24"/>
        </w:rPr>
        <w:t>4</w:t>
      </w:r>
      <w:r w:rsidRPr="00A57B15">
        <w:rPr>
          <w:snapToGrid w:val="0"/>
          <w:sz w:val="24"/>
        </w:rPr>
        <w:t>,</w:t>
      </w:r>
      <w:r w:rsidR="00696F28" w:rsidRPr="00A57B15">
        <w:rPr>
          <w:snapToGrid w:val="0"/>
          <w:sz w:val="24"/>
        </w:rPr>
        <w:t>3</w:t>
      </w:r>
      <w:r w:rsidRPr="00A57B15">
        <w:rPr>
          <w:snapToGrid w:val="0"/>
          <w:sz w:val="24"/>
        </w:rPr>
        <w:t> % к предыдущему году;</w:t>
      </w:r>
    </w:p>
    <w:p w:rsidR="009C4AF0" w:rsidRPr="00A57B15" w:rsidRDefault="009C4AF0" w:rsidP="009C4AF0">
      <w:pPr>
        <w:ind w:firstLine="709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в 2022 году – </w:t>
      </w:r>
      <w:r w:rsidR="00696F28" w:rsidRPr="00A57B15">
        <w:rPr>
          <w:snapToGrid w:val="0"/>
          <w:sz w:val="24"/>
          <w:szCs w:val="24"/>
        </w:rPr>
        <w:t xml:space="preserve"> </w:t>
      </w:r>
      <w:r w:rsidRPr="00A57B15">
        <w:rPr>
          <w:snapToGrid w:val="0"/>
          <w:sz w:val="24"/>
          <w:szCs w:val="24"/>
        </w:rPr>
        <w:t>1</w:t>
      </w:r>
      <w:r w:rsidR="00696F28" w:rsidRPr="00A57B15">
        <w:rPr>
          <w:snapToGrid w:val="0"/>
          <w:sz w:val="24"/>
          <w:szCs w:val="24"/>
        </w:rPr>
        <w:t>12 337</w:t>
      </w:r>
      <w:r w:rsidRPr="00A57B15">
        <w:rPr>
          <w:snapToGrid w:val="0"/>
          <w:sz w:val="24"/>
          <w:szCs w:val="24"/>
        </w:rPr>
        <w:t xml:space="preserve"> млн. руб. или 107,</w:t>
      </w:r>
      <w:r w:rsidR="00696F28" w:rsidRPr="00A57B15">
        <w:rPr>
          <w:snapToGrid w:val="0"/>
          <w:sz w:val="24"/>
          <w:szCs w:val="24"/>
        </w:rPr>
        <w:t>1</w:t>
      </w:r>
      <w:r w:rsidRPr="00A57B15">
        <w:rPr>
          <w:snapToGrid w:val="0"/>
          <w:sz w:val="24"/>
          <w:szCs w:val="24"/>
        </w:rPr>
        <w:t xml:space="preserve"> % к предыдущему году.</w:t>
      </w:r>
    </w:p>
    <w:p w:rsidR="00492F5B" w:rsidRPr="00A57B15" w:rsidRDefault="00492F5B" w:rsidP="00492F5B">
      <w:pPr>
        <w:ind w:firstLine="709"/>
        <w:rPr>
          <w:snapToGrid w:val="0"/>
          <w:sz w:val="24"/>
        </w:rPr>
      </w:pPr>
      <w:r w:rsidRPr="00A57B15">
        <w:rPr>
          <w:snapToGrid w:val="0"/>
          <w:sz w:val="24"/>
        </w:rPr>
        <w:t xml:space="preserve">в 2023 году –  </w:t>
      </w:r>
      <w:r w:rsidR="00696F28" w:rsidRPr="00A57B15">
        <w:rPr>
          <w:snapToGrid w:val="0"/>
          <w:sz w:val="24"/>
        </w:rPr>
        <w:t>114 128</w:t>
      </w:r>
      <w:r w:rsidRPr="00A57B15">
        <w:rPr>
          <w:snapToGrid w:val="0"/>
          <w:sz w:val="24"/>
        </w:rPr>
        <w:t xml:space="preserve"> млн. руб. или  9</w:t>
      </w:r>
      <w:r w:rsidR="00696F28" w:rsidRPr="00A57B15">
        <w:rPr>
          <w:snapToGrid w:val="0"/>
          <w:sz w:val="24"/>
        </w:rPr>
        <w:t>7</w:t>
      </w:r>
      <w:r w:rsidRPr="00A57B15">
        <w:rPr>
          <w:snapToGrid w:val="0"/>
          <w:sz w:val="24"/>
        </w:rPr>
        <w:t>,</w:t>
      </w:r>
      <w:r w:rsidR="00696F28" w:rsidRPr="00A57B15">
        <w:rPr>
          <w:snapToGrid w:val="0"/>
          <w:sz w:val="24"/>
        </w:rPr>
        <w:t>7</w:t>
      </w:r>
      <w:r w:rsidRPr="00A57B15">
        <w:rPr>
          <w:snapToGrid w:val="0"/>
          <w:sz w:val="24"/>
        </w:rPr>
        <w:t xml:space="preserve"> % </w:t>
      </w:r>
      <w:r w:rsidR="00696F28" w:rsidRPr="00A57B15">
        <w:rPr>
          <w:sz w:val="24"/>
          <w:szCs w:val="24"/>
        </w:rPr>
        <w:t>к предыдущему году.</w:t>
      </w:r>
    </w:p>
    <w:p w:rsidR="009C4AF0" w:rsidRPr="00A57B15" w:rsidRDefault="009C4AF0" w:rsidP="009C4AF0">
      <w:pPr>
        <w:ind w:firstLine="709"/>
        <w:rPr>
          <w:snapToGrid w:val="0"/>
          <w:sz w:val="24"/>
          <w:szCs w:val="24"/>
        </w:rPr>
      </w:pPr>
    </w:p>
    <w:p w:rsidR="009C4AF0" w:rsidRPr="00A57B15" w:rsidRDefault="009C4AF0" w:rsidP="009C4AF0">
      <w:pPr>
        <w:ind w:firstLine="709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Выработка </w:t>
      </w:r>
      <w:r w:rsidRPr="00A57B15">
        <w:rPr>
          <w:b/>
          <w:snapToGrid w:val="0"/>
          <w:sz w:val="24"/>
          <w:szCs w:val="24"/>
        </w:rPr>
        <w:t>электроэнергии</w:t>
      </w:r>
      <w:r w:rsidRPr="00A57B15">
        <w:rPr>
          <w:snapToGrid w:val="0"/>
          <w:sz w:val="24"/>
          <w:szCs w:val="24"/>
        </w:rPr>
        <w:t xml:space="preserve"> планируется в следующих объемах:</w:t>
      </w:r>
    </w:p>
    <w:p w:rsidR="009C4AF0" w:rsidRPr="00A57B15" w:rsidRDefault="009C4AF0" w:rsidP="009C4AF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</w:t>
      </w:r>
      <w:r w:rsidR="00696F28" w:rsidRPr="00A57B15">
        <w:rPr>
          <w:sz w:val="24"/>
          <w:szCs w:val="24"/>
        </w:rPr>
        <w:t>1</w:t>
      </w:r>
      <w:r w:rsidRPr="00A57B15">
        <w:rPr>
          <w:sz w:val="24"/>
          <w:szCs w:val="24"/>
        </w:rPr>
        <w:t xml:space="preserve"> году – 2</w:t>
      </w:r>
      <w:r w:rsidR="00696F28" w:rsidRPr="00A57B15">
        <w:rPr>
          <w:sz w:val="24"/>
          <w:szCs w:val="24"/>
        </w:rPr>
        <w:t>9950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 xml:space="preserve">, </w:t>
      </w:r>
      <w:r w:rsidR="00696F28" w:rsidRPr="00A57B15">
        <w:rPr>
          <w:sz w:val="24"/>
          <w:szCs w:val="24"/>
        </w:rPr>
        <w:t>109,7</w:t>
      </w:r>
      <w:r w:rsidRPr="00A57B15">
        <w:rPr>
          <w:sz w:val="24"/>
          <w:szCs w:val="24"/>
        </w:rPr>
        <w:t xml:space="preserve"> % к </w:t>
      </w:r>
      <w:r w:rsidRPr="00A57B15">
        <w:rPr>
          <w:snapToGrid w:val="0"/>
          <w:sz w:val="24"/>
          <w:szCs w:val="24"/>
        </w:rPr>
        <w:t>уровню ожидаемой величины выработки электроэнергии предыдущего года (с учётом энергоблоков № 5 и № 6)</w:t>
      </w:r>
      <w:r w:rsidRPr="00A57B15">
        <w:rPr>
          <w:sz w:val="24"/>
          <w:szCs w:val="24"/>
        </w:rPr>
        <w:t>;</w:t>
      </w:r>
    </w:p>
    <w:p w:rsidR="009C4AF0" w:rsidRPr="00A57B15" w:rsidRDefault="009C4AF0" w:rsidP="009C4AF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</w:t>
      </w:r>
      <w:r w:rsidR="00696F28" w:rsidRPr="00A57B15">
        <w:rPr>
          <w:sz w:val="24"/>
          <w:szCs w:val="24"/>
        </w:rPr>
        <w:t>2</w:t>
      </w:r>
      <w:r w:rsidRPr="00A57B15">
        <w:rPr>
          <w:sz w:val="24"/>
          <w:szCs w:val="24"/>
        </w:rPr>
        <w:t xml:space="preserve"> году – </w:t>
      </w:r>
      <w:r w:rsidR="00696F28" w:rsidRPr="00A57B15">
        <w:rPr>
          <w:sz w:val="24"/>
          <w:szCs w:val="24"/>
        </w:rPr>
        <w:t>31250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>, 10</w:t>
      </w:r>
      <w:r w:rsidR="00696F28" w:rsidRPr="00A57B15">
        <w:rPr>
          <w:sz w:val="24"/>
          <w:szCs w:val="24"/>
        </w:rPr>
        <w:t>4,3</w:t>
      </w:r>
      <w:r w:rsidRPr="00A57B15">
        <w:rPr>
          <w:sz w:val="24"/>
          <w:szCs w:val="24"/>
        </w:rPr>
        <w:t xml:space="preserve"> % к предыдущему году (с </w:t>
      </w:r>
      <w:r w:rsidRPr="00A57B15">
        <w:rPr>
          <w:snapToGrid w:val="0"/>
          <w:sz w:val="24"/>
          <w:szCs w:val="24"/>
        </w:rPr>
        <w:t>учётом энергоблоков № 5 и № 6</w:t>
      </w:r>
      <w:r w:rsidRPr="00A57B15">
        <w:rPr>
          <w:sz w:val="24"/>
          <w:szCs w:val="24"/>
        </w:rPr>
        <w:t>);</w:t>
      </w:r>
    </w:p>
    <w:p w:rsidR="009C4AF0" w:rsidRPr="00A57B15" w:rsidRDefault="009C4AF0" w:rsidP="009C4AF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</w:t>
      </w:r>
      <w:r w:rsidR="00696F28" w:rsidRPr="00A57B15">
        <w:rPr>
          <w:sz w:val="24"/>
          <w:szCs w:val="24"/>
        </w:rPr>
        <w:t>3</w:t>
      </w:r>
      <w:r w:rsidRPr="00A57B15">
        <w:rPr>
          <w:sz w:val="24"/>
          <w:szCs w:val="24"/>
        </w:rPr>
        <w:t xml:space="preserve"> году – 3</w:t>
      </w:r>
      <w:r w:rsidR="00696F28" w:rsidRPr="00A57B15">
        <w:rPr>
          <w:sz w:val="24"/>
          <w:szCs w:val="24"/>
        </w:rPr>
        <w:t>1856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>,  1</w:t>
      </w:r>
      <w:r w:rsidR="00696F28" w:rsidRPr="00A57B15">
        <w:rPr>
          <w:sz w:val="24"/>
          <w:szCs w:val="24"/>
        </w:rPr>
        <w:t>01,9</w:t>
      </w:r>
      <w:r w:rsidRPr="00A57B15">
        <w:rPr>
          <w:sz w:val="24"/>
          <w:szCs w:val="24"/>
        </w:rPr>
        <w:t xml:space="preserve"> % к предыдущему году (с </w:t>
      </w:r>
      <w:r w:rsidRPr="00A57B15">
        <w:rPr>
          <w:snapToGrid w:val="0"/>
          <w:sz w:val="24"/>
          <w:szCs w:val="24"/>
        </w:rPr>
        <w:t>учётом энергоблоков № 5 и № 6</w:t>
      </w:r>
      <w:r w:rsidRPr="00A57B15">
        <w:rPr>
          <w:sz w:val="24"/>
          <w:szCs w:val="24"/>
        </w:rPr>
        <w:t>).</w:t>
      </w:r>
    </w:p>
    <w:p w:rsidR="009C4AF0" w:rsidRPr="00A57B15" w:rsidRDefault="009C4AF0" w:rsidP="009C4AF0">
      <w:pPr>
        <w:ind w:firstLine="709"/>
        <w:jc w:val="both"/>
        <w:rPr>
          <w:sz w:val="24"/>
          <w:szCs w:val="24"/>
        </w:rPr>
      </w:pPr>
      <w:r w:rsidRPr="00A57B15">
        <w:rPr>
          <w:noProof/>
        </w:rPr>
        <w:drawing>
          <wp:inline distT="0" distB="0" distL="0" distR="0">
            <wp:extent cx="4933950" cy="18573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1F0B" w:rsidRPr="00A57B15" w:rsidRDefault="002F1F0B" w:rsidP="002F1F0B">
      <w:pPr>
        <w:pStyle w:val="1b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Ленинградская атомная станция – крупнейший производитель электроэнергии в</w:t>
      </w:r>
      <w:r w:rsidR="003F127C" w:rsidRPr="00A57B15">
        <w:rPr>
          <w:sz w:val="24"/>
          <w:szCs w:val="24"/>
        </w:rPr>
        <w:t> </w:t>
      </w:r>
      <w:r w:rsidRPr="00A57B15">
        <w:rPr>
          <w:sz w:val="24"/>
          <w:szCs w:val="24"/>
        </w:rPr>
        <w:t>Северо-Западном регионе России и единственный с двумя типами реакторов: в работе три действующих энергоблока РБМК-1000 (уран-графитовые ядерные реакторы канального типа на тепловых нейтронах электрической мощностью 1000 МВт) и один энергоблок ВВЭР-1200 (</w:t>
      </w:r>
      <w:proofErr w:type="spellStart"/>
      <w:r w:rsidRPr="00A57B15">
        <w:rPr>
          <w:sz w:val="24"/>
          <w:szCs w:val="24"/>
        </w:rPr>
        <w:t>водо-водяной</w:t>
      </w:r>
      <w:proofErr w:type="spellEnd"/>
      <w:r w:rsidRPr="00A57B15">
        <w:rPr>
          <w:sz w:val="24"/>
          <w:szCs w:val="24"/>
        </w:rPr>
        <w:t xml:space="preserve"> энергетический реактор электрической мощностью 1200 МВт). Первый энергоблок РБМК-1000 остановлен для вывода из эксплуатации 21 декабря 2018 года. 18</w:t>
      </w:r>
      <w:r w:rsidR="003F127C" w:rsidRPr="00A57B15">
        <w:rPr>
          <w:sz w:val="24"/>
          <w:szCs w:val="24"/>
        </w:rPr>
        <w:t> </w:t>
      </w:r>
      <w:r w:rsidRPr="00A57B15">
        <w:rPr>
          <w:sz w:val="24"/>
          <w:szCs w:val="24"/>
        </w:rPr>
        <w:t xml:space="preserve">июля 2020 года состоялся физический пуск энергоблока № 2 ВВЭР-1200. </w:t>
      </w:r>
    </w:p>
    <w:p w:rsidR="009C4AF0" w:rsidRPr="00A57B15" w:rsidRDefault="009C4AF0" w:rsidP="009E3BF0">
      <w:pPr>
        <w:ind w:left="40" w:right="20" w:firstLine="720"/>
        <w:jc w:val="both"/>
        <w:rPr>
          <w:snapToGrid w:val="0"/>
          <w:sz w:val="24"/>
        </w:rPr>
      </w:pPr>
      <w:r w:rsidRPr="00A57B15">
        <w:rPr>
          <w:snapToGrid w:val="0"/>
          <w:sz w:val="24"/>
        </w:rPr>
        <w:t xml:space="preserve">СМУП «Теплоснабжающее предприятие» обеспечивает </w:t>
      </w:r>
      <w:r w:rsidRPr="00A57B15">
        <w:rPr>
          <w:b/>
          <w:snapToGrid w:val="0"/>
          <w:sz w:val="24"/>
        </w:rPr>
        <w:t>теплоснабжение</w:t>
      </w:r>
      <w:r w:rsidRPr="00A57B15">
        <w:rPr>
          <w:snapToGrid w:val="0"/>
          <w:sz w:val="24"/>
        </w:rPr>
        <w:t xml:space="preserve"> муниципального образования Сосновоборский городской округ. Абонентами потребления тепловой энергии, в том числе горячей воды, являются жители города, предприятия и организации городской и промышленной зоны. </w:t>
      </w:r>
    </w:p>
    <w:p w:rsidR="009C4AF0" w:rsidRPr="00A57B15" w:rsidRDefault="009C4AF0" w:rsidP="009C4AF0">
      <w:pPr>
        <w:ind w:firstLine="708"/>
        <w:jc w:val="both"/>
        <w:rPr>
          <w:sz w:val="24"/>
          <w:szCs w:val="24"/>
        </w:rPr>
      </w:pPr>
      <w:r w:rsidRPr="00A57B15">
        <w:rPr>
          <w:snapToGrid w:val="0"/>
          <w:sz w:val="24"/>
        </w:rPr>
        <w:t xml:space="preserve">Тепловая энергия, в основном, поступает от ЛАЭС. </w:t>
      </w:r>
      <w:r w:rsidRPr="00A57B15">
        <w:rPr>
          <w:sz w:val="24"/>
          <w:szCs w:val="24"/>
        </w:rPr>
        <w:t>Выработка тепловой энергии планируется по 9</w:t>
      </w:r>
      <w:r w:rsidR="00C30E49" w:rsidRPr="00A57B15">
        <w:rPr>
          <w:sz w:val="24"/>
          <w:szCs w:val="24"/>
        </w:rPr>
        <w:t>64,7</w:t>
      </w:r>
      <w:r w:rsidRPr="00A57B15">
        <w:rPr>
          <w:sz w:val="24"/>
          <w:szCs w:val="24"/>
        </w:rPr>
        <w:t xml:space="preserve"> тыс. Гкал в прогнозируемом периоде ежегодно, </w:t>
      </w:r>
      <w:r w:rsidRPr="00A57B15">
        <w:rPr>
          <w:snapToGrid w:val="0"/>
          <w:sz w:val="24"/>
        </w:rPr>
        <w:t>в том числе вырабатываемая СМУП «ТСП» - 78,</w:t>
      </w:r>
      <w:r w:rsidR="00734536" w:rsidRPr="00A57B15">
        <w:rPr>
          <w:snapToGrid w:val="0"/>
          <w:sz w:val="24"/>
        </w:rPr>
        <w:t>8</w:t>
      </w:r>
      <w:r w:rsidRPr="00A57B15">
        <w:rPr>
          <w:snapToGrid w:val="0"/>
          <w:sz w:val="24"/>
        </w:rPr>
        <w:t xml:space="preserve"> тыс. Гкал.</w:t>
      </w:r>
      <w:r w:rsidRPr="00A57B15">
        <w:rPr>
          <w:sz w:val="24"/>
          <w:szCs w:val="24"/>
        </w:rPr>
        <w:t xml:space="preserve"> Отпуск тепловой энергии </w:t>
      </w:r>
      <w:r w:rsidR="00D424B1" w:rsidRPr="00A57B15">
        <w:rPr>
          <w:sz w:val="24"/>
          <w:szCs w:val="24"/>
        </w:rPr>
        <w:t xml:space="preserve">основного поставщика </w:t>
      </w:r>
      <w:r w:rsidRPr="00A57B15">
        <w:rPr>
          <w:sz w:val="24"/>
          <w:szCs w:val="24"/>
        </w:rPr>
        <w:t xml:space="preserve">потребителям </w:t>
      </w:r>
      <w:r w:rsidRPr="00A57B15">
        <w:rPr>
          <w:snapToGrid w:val="0"/>
          <w:sz w:val="24"/>
          <w:szCs w:val="24"/>
        </w:rPr>
        <w:t xml:space="preserve">в </w:t>
      </w:r>
      <w:r w:rsidRPr="00A57B15">
        <w:rPr>
          <w:sz w:val="24"/>
          <w:szCs w:val="24"/>
        </w:rPr>
        <w:t>202</w:t>
      </w:r>
      <w:r w:rsidR="00734536" w:rsidRPr="00A57B15">
        <w:rPr>
          <w:sz w:val="24"/>
          <w:szCs w:val="24"/>
        </w:rPr>
        <w:t>1</w:t>
      </w:r>
      <w:r w:rsidRPr="00A57B15">
        <w:rPr>
          <w:sz w:val="24"/>
          <w:szCs w:val="24"/>
        </w:rPr>
        <w:t>-202</w:t>
      </w:r>
      <w:r w:rsidR="00734536" w:rsidRPr="00A57B15">
        <w:rPr>
          <w:sz w:val="24"/>
          <w:szCs w:val="24"/>
        </w:rPr>
        <w:t>3</w:t>
      </w:r>
      <w:r w:rsidRPr="00A57B15">
        <w:rPr>
          <w:sz w:val="24"/>
          <w:szCs w:val="24"/>
        </w:rPr>
        <w:t xml:space="preserve"> годах будет составлять 8</w:t>
      </w:r>
      <w:r w:rsidR="00D424B1" w:rsidRPr="00A57B15">
        <w:rPr>
          <w:sz w:val="24"/>
          <w:szCs w:val="24"/>
        </w:rPr>
        <w:t>3,5</w:t>
      </w:r>
      <w:r w:rsidRPr="00A57B15">
        <w:rPr>
          <w:sz w:val="24"/>
          <w:szCs w:val="24"/>
        </w:rPr>
        <w:t xml:space="preserve"> % от е</w:t>
      </w:r>
      <w:r w:rsidR="000404F5" w:rsidRPr="00A57B15">
        <w:rPr>
          <w:sz w:val="24"/>
          <w:szCs w:val="24"/>
        </w:rPr>
        <w:t>ё</w:t>
      </w:r>
      <w:r w:rsidRPr="00A57B15">
        <w:rPr>
          <w:sz w:val="24"/>
          <w:szCs w:val="24"/>
        </w:rPr>
        <w:t xml:space="preserve"> выработки.</w:t>
      </w:r>
    </w:p>
    <w:p w:rsidR="00723105" w:rsidRPr="00A57B15" w:rsidRDefault="009C4AF0" w:rsidP="007963E1">
      <w:pPr>
        <w:ind w:firstLine="708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lastRenderedPageBreak/>
        <w:t xml:space="preserve">Постепенный вывод из эксплуатации блоков ЛАЭС поставил задачу полноценного теплоснабжения города. С целью замещения тепловых мощностей планируется прокладка теплосетей от ЛАЭС-2. </w:t>
      </w:r>
      <w:r w:rsidR="00723105" w:rsidRPr="00A57B15">
        <w:rPr>
          <w:sz w:val="24"/>
          <w:szCs w:val="24"/>
        </w:rPr>
        <w:t>До конца текущего го</w:t>
      </w:r>
      <w:r w:rsidR="00723105" w:rsidRPr="00A57B15">
        <w:rPr>
          <w:sz w:val="24"/>
          <w:szCs w:val="24"/>
        </w:rPr>
        <w:softHyphen/>
        <w:t>да на площадке сооруже</w:t>
      </w:r>
      <w:r w:rsidR="00723105" w:rsidRPr="00A57B15">
        <w:rPr>
          <w:sz w:val="24"/>
          <w:szCs w:val="24"/>
        </w:rPr>
        <w:softHyphen/>
        <w:t>ния новых энергоблоков № 3 и № 4 с реакторами ВВЭР-1200 Ленинград</w:t>
      </w:r>
      <w:r w:rsidR="00723105" w:rsidRPr="00A57B15">
        <w:rPr>
          <w:sz w:val="24"/>
          <w:szCs w:val="24"/>
        </w:rPr>
        <w:softHyphen/>
        <w:t>ской АЭС-2 будет подго</w:t>
      </w:r>
      <w:r w:rsidR="00723105" w:rsidRPr="00A57B15">
        <w:rPr>
          <w:sz w:val="24"/>
          <w:szCs w:val="24"/>
        </w:rPr>
        <w:softHyphen/>
        <w:t>товлен проект на выпол</w:t>
      </w:r>
      <w:r w:rsidR="00723105" w:rsidRPr="00A57B15">
        <w:rPr>
          <w:sz w:val="24"/>
          <w:szCs w:val="24"/>
        </w:rPr>
        <w:softHyphen/>
        <w:t>нение подготовительных работ. На участке буду</w:t>
      </w:r>
      <w:r w:rsidR="00723105" w:rsidRPr="00A57B15">
        <w:rPr>
          <w:sz w:val="24"/>
          <w:szCs w:val="24"/>
        </w:rPr>
        <w:softHyphen/>
        <w:t>щего строительства пла</w:t>
      </w:r>
      <w:r w:rsidR="00723105" w:rsidRPr="00A57B15">
        <w:rPr>
          <w:sz w:val="24"/>
          <w:szCs w:val="24"/>
        </w:rPr>
        <w:softHyphen/>
        <w:t>нируется сооружение временных бытовых стро</w:t>
      </w:r>
      <w:r w:rsidR="00723105" w:rsidRPr="00A57B15">
        <w:rPr>
          <w:sz w:val="24"/>
          <w:szCs w:val="24"/>
        </w:rPr>
        <w:softHyphen/>
        <w:t>ительных городков и</w:t>
      </w:r>
      <w:r w:rsidR="00723105" w:rsidRPr="00A57B15">
        <w:rPr>
          <w:rFonts w:ascii="Franklin Gothic Demi" w:hAnsi="Franklin Gothic Demi" w:cs="Franklin Gothic Demi"/>
          <w:sz w:val="24"/>
          <w:szCs w:val="24"/>
        </w:rPr>
        <w:t xml:space="preserve"> </w:t>
      </w:r>
      <w:r w:rsidR="00723105" w:rsidRPr="00A57B15">
        <w:rPr>
          <w:sz w:val="24"/>
          <w:szCs w:val="24"/>
        </w:rPr>
        <w:t>про</w:t>
      </w:r>
      <w:r w:rsidR="00723105" w:rsidRPr="00A57B15">
        <w:rPr>
          <w:sz w:val="24"/>
          <w:szCs w:val="24"/>
        </w:rPr>
        <w:softHyphen/>
        <w:t>мышленной базы. В пе</w:t>
      </w:r>
      <w:r w:rsidR="00723105" w:rsidRPr="00A57B15">
        <w:rPr>
          <w:sz w:val="24"/>
          <w:szCs w:val="24"/>
        </w:rPr>
        <w:softHyphen/>
        <w:t>риод 2020-2022 гг. будут организованы обществен</w:t>
      </w:r>
      <w:r w:rsidR="00723105" w:rsidRPr="00A57B15">
        <w:rPr>
          <w:sz w:val="24"/>
          <w:szCs w:val="24"/>
        </w:rPr>
        <w:softHyphen/>
        <w:t>ные слушания материа</w:t>
      </w:r>
      <w:r w:rsidR="00723105" w:rsidRPr="00A57B15">
        <w:rPr>
          <w:sz w:val="24"/>
          <w:szCs w:val="24"/>
        </w:rPr>
        <w:softHyphen/>
        <w:t>лов обоснования лицен</w:t>
      </w:r>
      <w:r w:rsidR="00723105" w:rsidRPr="00A57B15">
        <w:rPr>
          <w:sz w:val="24"/>
          <w:szCs w:val="24"/>
        </w:rPr>
        <w:softHyphen/>
        <w:t>зии и оценки воздействия на окружающую среду 3-го  и 4-го энергоблоков для получения лицензии на сооружение энергобло</w:t>
      </w:r>
      <w:r w:rsidR="00723105" w:rsidRPr="00A57B15">
        <w:rPr>
          <w:sz w:val="24"/>
          <w:szCs w:val="24"/>
        </w:rPr>
        <w:softHyphen/>
        <w:t>ков. До 2022 года пред</w:t>
      </w:r>
      <w:r w:rsidR="00723105" w:rsidRPr="00A57B15">
        <w:rPr>
          <w:sz w:val="24"/>
          <w:szCs w:val="24"/>
        </w:rPr>
        <w:softHyphen/>
        <w:t>стоит пройти экспертизу на основной проект соо</w:t>
      </w:r>
      <w:r w:rsidR="00723105" w:rsidRPr="00A57B15">
        <w:rPr>
          <w:sz w:val="24"/>
          <w:szCs w:val="24"/>
        </w:rPr>
        <w:softHyphen/>
        <w:t>ружения.</w:t>
      </w:r>
    </w:p>
    <w:p w:rsidR="009C4AF0" w:rsidRPr="00A57B15" w:rsidRDefault="009C4AF0" w:rsidP="007963E1">
      <w:pPr>
        <w:pStyle w:val="aff3"/>
        <w:ind w:left="0" w:firstLine="720"/>
        <w:jc w:val="both"/>
        <w:rPr>
          <w:b/>
        </w:rPr>
      </w:pPr>
      <w:r w:rsidRPr="00A57B15">
        <w:rPr>
          <w:snapToGrid w:val="0"/>
        </w:rPr>
        <w:t>Кроме того, решается вопрос о строительстве нового подземного источника водоснабжения города и промышленных потребителей, производятся ремонтные работы в  городской котельной.</w:t>
      </w:r>
    </w:p>
    <w:p w:rsidR="009C4AF0" w:rsidRPr="00A57B15" w:rsidRDefault="009C4AF0" w:rsidP="009C4AF0">
      <w:pPr>
        <w:keepNext/>
        <w:ind w:firstLine="720"/>
        <w:jc w:val="both"/>
        <w:rPr>
          <w:b/>
          <w:sz w:val="24"/>
          <w:szCs w:val="24"/>
        </w:rPr>
      </w:pPr>
    </w:p>
    <w:p w:rsidR="009C4AF0" w:rsidRPr="00A57B15" w:rsidRDefault="009C4AF0" w:rsidP="009C4AF0">
      <w:pPr>
        <w:keepNext/>
        <w:ind w:firstLine="720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Обрабатывающие производства.</w:t>
      </w:r>
    </w:p>
    <w:p w:rsidR="009C4AF0" w:rsidRPr="00A57B15" w:rsidRDefault="009C4AF0" w:rsidP="009C4AF0">
      <w:pPr>
        <w:ind w:firstLine="720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</w:rPr>
        <w:t xml:space="preserve">Объем отгруженных товаров </w:t>
      </w:r>
      <w:r w:rsidRPr="00A57B15">
        <w:rPr>
          <w:snapToGrid w:val="0"/>
          <w:sz w:val="24"/>
          <w:szCs w:val="24"/>
        </w:rPr>
        <w:t xml:space="preserve">в </w:t>
      </w:r>
      <w:r w:rsidRPr="00A57B15">
        <w:rPr>
          <w:sz w:val="24"/>
          <w:szCs w:val="24"/>
        </w:rPr>
        <w:t>202</w:t>
      </w:r>
      <w:r w:rsidR="001839C1" w:rsidRPr="00A57B15">
        <w:rPr>
          <w:sz w:val="24"/>
          <w:szCs w:val="24"/>
        </w:rPr>
        <w:t>1</w:t>
      </w:r>
      <w:r w:rsidRPr="00A57B15">
        <w:rPr>
          <w:sz w:val="24"/>
          <w:szCs w:val="24"/>
        </w:rPr>
        <w:t>-202</w:t>
      </w:r>
      <w:r w:rsidR="001839C1" w:rsidRPr="00A57B15">
        <w:rPr>
          <w:sz w:val="24"/>
          <w:szCs w:val="24"/>
        </w:rPr>
        <w:t>3</w:t>
      </w:r>
      <w:r w:rsidRPr="00A57B15">
        <w:rPr>
          <w:sz w:val="24"/>
          <w:szCs w:val="24"/>
        </w:rPr>
        <w:t xml:space="preserve"> годах составит 1</w:t>
      </w:r>
      <w:r w:rsidR="00AA376D" w:rsidRPr="00A57B15">
        <w:rPr>
          <w:sz w:val="24"/>
          <w:szCs w:val="24"/>
        </w:rPr>
        <w:t>2</w:t>
      </w:r>
      <w:r w:rsidRPr="00A57B15">
        <w:rPr>
          <w:sz w:val="24"/>
          <w:szCs w:val="24"/>
        </w:rPr>
        <w:t>,3 – 1</w:t>
      </w:r>
      <w:r w:rsidR="00AA376D" w:rsidRPr="00A57B15">
        <w:rPr>
          <w:sz w:val="24"/>
          <w:szCs w:val="24"/>
        </w:rPr>
        <w:t>9,7</w:t>
      </w:r>
      <w:r w:rsidRPr="00A57B15">
        <w:rPr>
          <w:sz w:val="24"/>
          <w:szCs w:val="24"/>
        </w:rPr>
        <w:t xml:space="preserve"> млрд. руб. в текущих ценах.</w:t>
      </w:r>
    </w:p>
    <w:p w:rsidR="009C4AF0" w:rsidRPr="00A57B15" w:rsidRDefault="009C4AF0" w:rsidP="009C4AF0">
      <w:pPr>
        <w:ind w:right="-1"/>
        <w:jc w:val="center"/>
      </w:pPr>
      <w:r w:rsidRPr="00A57B15">
        <w:rPr>
          <w:noProof/>
        </w:rPr>
        <w:drawing>
          <wp:inline distT="0" distB="0" distL="0" distR="0">
            <wp:extent cx="4752975" cy="24955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4AF0" w:rsidRPr="00A57B15" w:rsidRDefault="000561F2" w:rsidP="009C4AF0">
      <w:pPr>
        <w:ind w:firstLine="709"/>
        <w:jc w:val="both"/>
        <w:rPr>
          <w:snapToGrid w:val="0"/>
          <w:sz w:val="24"/>
        </w:rPr>
      </w:pPr>
      <w:r w:rsidRPr="00A57B15">
        <w:rPr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A57B15">
        <w:rPr>
          <w:b/>
          <w:sz w:val="24"/>
          <w:szCs w:val="24"/>
        </w:rPr>
        <w:t>"Водоснабжение; водоотведение, организация сбора и утилизации отходов, деятельность по ликвидации загрязнений»</w:t>
      </w:r>
      <w:r w:rsidRPr="00A57B15">
        <w:rPr>
          <w:sz w:val="24"/>
          <w:szCs w:val="24"/>
        </w:rPr>
        <w:t xml:space="preserve"> </w:t>
      </w:r>
      <w:r w:rsidR="009C4AF0" w:rsidRPr="00A57B15">
        <w:rPr>
          <w:sz w:val="24"/>
          <w:szCs w:val="24"/>
        </w:rPr>
        <w:t>в 202</w:t>
      </w:r>
      <w:r w:rsidR="00E43A7A" w:rsidRPr="00A57B15">
        <w:rPr>
          <w:sz w:val="24"/>
          <w:szCs w:val="24"/>
        </w:rPr>
        <w:t>1</w:t>
      </w:r>
      <w:r w:rsidR="009C4AF0" w:rsidRPr="00A57B15">
        <w:rPr>
          <w:sz w:val="24"/>
          <w:szCs w:val="24"/>
        </w:rPr>
        <w:t>-202</w:t>
      </w:r>
      <w:r w:rsidR="00E43A7A" w:rsidRPr="00A57B15">
        <w:rPr>
          <w:sz w:val="24"/>
          <w:szCs w:val="24"/>
        </w:rPr>
        <w:t>3</w:t>
      </w:r>
      <w:r w:rsidR="009C4AF0" w:rsidRPr="00A57B15">
        <w:rPr>
          <w:sz w:val="24"/>
          <w:szCs w:val="24"/>
        </w:rPr>
        <w:t xml:space="preserve"> годах составит</w:t>
      </w:r>
      <w:r w:rsidR="009C4AF0" w:rsidRPr="00A57B15">
        <w:rPr>
          <w:snapToGrid w:val="0"/>
          <w:sz w:val="24"/>
        </w:rPr>
        <w:t xml:space="preserve"> </w:t>
      </w:r>
      <w:r w:rsidRPr="00A57B15">
        <w:rPr>
          <w:snapToGrid w:val="0"/>
          <w:sz w:val="24"/>
        </w:rPr>
        <w:t>771</w:t>
      </w:r>
      <w:r w:rsidR="009C4AF0" w:rsidRPr="00A57B15">
        <w:rPr>
          <w:snapToGrid w:val="0"/>
          <w:sz w:val="24"/>
        </w:rPr>
        <w:t xml:space="preserve"> - </w:t>
      </w:r>
      <w:r w:rsidRPr="00A57B15">
        <w:rPr>
          <w:snapToGrid w:val="0"/>
          <w:sz w:val="24"/>
        </w:rPr>
        <w:t>793</w:t>
      </w:r>
      <w:r w:rsidR="009C4AF0" w:rsidRPr="00A57B15">
        <w:rPr>
          <w:snapToGrid w:val="0"/>
          <w:sz w:val="24"/>
        </w:rPr>
        <w:t xml:space="preserve"> млн. руб</w:t>
      </w:r>
      <w:r w:rsidR="009C4AF0" w:rsidRPr="00A57B15">
        <w:rPr>
          <w:sz w:val="24"/>
          <w:szCs w:val="24"/>
        </w:rPr>
        <w:t>. в текущих ценах</w:t>
      </w:r>
      <w:r w:rsidR="009C4AF0" w:rsidRPr="00A57B15">
        <w:rPr>
          <w:snapToGrid w:val="0"/>
          <w:sz w:val="24"/>
        </w:rPr>
        <w:t xml:space="preserve">. </w:t>
      </w:r>
    </w:p>
    <w:p w:rsidR="009C4AF0" w:rsidRPr="00A57B15" w:rsidRDefault="009C4AF0" w:rsidP="00B43A07">
      <w:pPr>
        <w:pStyle w:val="2"/>
        <w:rPr>
          <w:color w:val="auto"/>
        </w:rPr>
      </w:pPr>
      <w:bookmarkStart w:id="20" w:name="_Toc267584901"/>
    </w:p>
    <w:p w:rsidR="009C4AF0" w:rsidRPr="00A57B15" w:rsidRDefault="009C4AF0" w:rsidP="00B43A07">
      <w:pPr>
        <w:pStyle w:val="2"/>
        <w:rPr>
          <w:color w:val="auto"/>
        </w:rPr>
      </w:pPr>
      <w:bookmarkStart w:id="21" w:name="_Toc52186976"/>
      <w:r w:rsidRPr="00A57B15">
        <w:rPr>
          <w:color w:val="auto"/>
        </w:rPr>
        <w:t xml:space="preserve">5.2. </w:t>
      </w:r>
      <w:bookmarkStart w:id="22" w:name="_Toc267584903"/>
      <w:bookmarkEnd w:id="20"/>
      <w:r w:rsidRPr="00A57B15">
        <w:rPr>
          <w:color w:val="auto"/>
        </w:rPr>
        <w:t>Инвестиции</w:t>
      </w:r>
      <w:bookmarkEnd w:id="22"/>
      <w:r w:rsidRPr="00A57B15">
        <w:rPr>
          <w:color w:val="auto"/>
        </w:rPr>
        <w:t xml:space="preserve"> и строительство</w:t>
      </w:r>
      <w:bookmarkEnd w:id="21"/>
    </w:p>
    <w:p w:rsidR="009C4AF0" w:rsidRPr="00A57B15" w:rsidRDefault="009C4AF0" w:rsidP="009C4AF0">
      <w:pPr>
        <w:keepNext/>
        <w:ind w:firstLine="709"/>
        <w:jc w:val="both"/>
        <w:rPr>
          <w:sz w:val="24"/>
          <w:szCs w:val="24"/>
        </w:rPr>
      </w:pPr>
    </w:p>
    <w:bookmarkEnd w:id="14"/>
    <w:p w:rsidR="00B05ABA" w:rsidRPr="00A57B15" w:rsidRDefault="00B05ABA" w:rsidP="00B05ABA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b/>
          <w:bCs/>
          <w:sz w:val="24"/>
          <w:szCs w:val="24"/>
        </w:rPr>
        <w:t xml:space="preserve">Инвестиции </w:t>
      </w:r>
      <w:r w:rsidRPr="00A57B15">
        <w:rPr>
          <w:sz w:val="24"/>
          <w:szCs w:val="24"/>
        </w:rPr>
        <w:t xml:space="preserve">в основной капитал за 2020 год по крупным и средним организациям-инвесторам, исходя из их прогнозов, составят около 35,6 млрд. руб., или 91,8 % к уровню предыдущего года. 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Динамика объема инвестиций по округу за последние годы определяется в основном объемами капитальных вложений на строительстве замещающих мощностей ЛАЭС и представлена на диаграмме:</w:t>
      </w:r>
    </w:p>
    <w:p w:rsidR="00B05ABA" w:rsidRPr="00A57B15" w:rsidRDefault="00B05ABA" w:rsidP="00B05ABA">
      <w:pPr>
        <w:jc w:val="center"/>
        <w:rPr>
          <w:sz w:val="24"/>
          <w:szCs w:val="24"/>
        </w:rPr>
      </w:pPr>
      <w:r w:rsidRPr="00A57B15">
        <w:rPr>
          <w:noProof/>
          <w:sz w:val="24"/>
          <w:szCs w:val="24"/>
        </w:rPr>
        <w:lastRenderedPageBreak/>
        <w:drawing>
          <wp:inline distT="0" distB="0" distL="0" distR="0">
            <wp:extent cx="5966460" cy="231648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общем объеме инвестиций по прежнему будут преобладать инвестиции в </w:t>
      </w:r>
      <w:r w:rsidRPr="00A57B15">
        <w:rPr>
          <w:b/>
          <w:bCs/>
          <w:sz w:val="24"/>
          <w:szCs w:val="24"/>
        </w:rPr>
        <w:t>производственные виды</w:t>
      </w:r>
      <w:r w:rsidRPr="00A57B15">
        <w:rPr>
          <w:sz w:val="24"/>
          <w:szCs w:val="24"/>
        </w:rPr>
        <w:t xml:space="preserve"> деятельности (более 90 %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Инвестиции в </w:t>
      </w:r>
      <w:r w:rsidRPr="00A57B15">
        <w:rPr>
          <w:b/>
          <w:bCs/>
          <w:sz w:val="24"/>
          <w:szCs w:val="24"/>
        </w:rPr>
        <w:t>непроизводственные виды</w:t>
      </w:r>
      <w:r w:rsidRPr="00A57B15">
        <w:rPr>
          <w:sz w:val="24"/>
          <w:szCs w:val="24"/>
        </w:rPr>
        <w:t xml:space="preserve"> деятельности составят менее 10 % от общего объема инвестиций, из них наибольший удельный вес составят инвестиции организаций науки и научного обслуживания.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Среди строящихся объектов коммунально-бытового и социального назначения  необходимо отметить строительство внутриквартальных проездов с канализационными и водопроводными</w:t>
      </w:r>
      <w:r w:rsidR="001312FE">
        <w:rPr>
          <w:sz w:val="24"/>
          <w:szCs w:val="24"/>
        </w:rPr>
        <w:t xml:space="preserve"> сетями квартала ИЖС в микрорайоне</w:t>
      </w:r>
      <w:r w:rsidRPr="00A57B15">
        <w:rPr>
          <w:sz w:val="24"/>
          <w:szCs w:val="24"/>
        </w:rPr>
        <w:t xml:space="preserve"> «Искра», строительство и реконструкцию сетей уличного и внутриквартального освещения, распределительных газопроводов, комплексное благоустройство городской территории.</w:t>
      </w:r>
    </w:p>
    <w:p w:rsidR="00B05ABA" w:rsidRPr="00A57B15" w:rsidRDefault="00B05ABA" w:rsidP="00B05ABA">
      <w:pPr>
        <w:ind w:firstLine="709"/>
        <w:jc w:val="both"/>
        <w:rPr>
          <w:b/>
          <w:sz w:val="24"/>
          <w:szCs w:val="24"/>
        </w:rPr>
      </w:pP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Строительный комплекс,</w:t>
      </w:r>
      <w:r w:rsidRPr="00A57B15">
        <w:rPr>
          <w:sz w:val="24"/>
          <w:szCs w:val="24"/>
        </w:rPr>
        <w:t xml:space="preserve"> в связи со строительством замещающих мощностей ЛАЭС и выполнением других заказов, в 2020 году увеличит объем выполненных работ по виду деятельности «строительство» предположительно до 46,2 млрд. руб., рост на 19,5 % к уровню предыдущего года.</w:t>
      </w:r>
    </w:p>
    <w:p w:rsidR="00B05ABA" w:rsidRPr="00A57B15" w:rsidRDefault="00B05ABA" w:rsidP="00B05ABA">
      <w:pPr>
        <w:ind w:firstLine="709"/>
        <w:jc w:val="both"/>
        <w:rPr>
          <w:b/>
          <w:bCs/>
          <w:sz w:val="24"/>
          <w:szCs w:val="24"/>
        </w:rPr>
      </w:pPr>
    </w:p>
    <w:p w:rsidR="00B05ABA" w:rsidRPr="00A57B15" w:rsidRDefault="00820666" w:rsidP="00B05ABA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</w:t>
      </w:r>
      <w:r w:rsidR="00B05ABA" w:rsidRPr="00A57B15">
        <w:rPr>
          <w:b/>
          <w:bCs/>
          <w:sz w:val="24"/>
          <w:szCs w:val="24"/>
        </w:rPr>
        <w:t xml:space="preserve"> годы.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b/>
          <w:bCs/>
          <w:sz w:val="24"/>
          <w:szCs w:val="24"/>
        </w:rPr>
        <w:t xml:space="preserve">Инвестиции </w:t>
      </w:r>
      <w:r w:rsidRPr="00A57B15">
        <w:rPr>
          <w:sz w:val="24"/>
          <w:szCs w:val="24"/>
        </w:rPr>
        <w:t xml:space="preserve">в основной капитал по крупным и средним организациям-инвесторам, исходя из их прогнозов, уменьшатся с 11,4 млрд. руб. в 2021 году до 7,8 млрд. руб. в 2023 году. 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Снижение прогнозируемого объема инвестиций вызвано уменьшением инвестиций в строительство замещающих мощностей ЛАЭС в связи с завершением строительства первой очереди ЛАЭС-2 (1-й и 2-й энергоблоки нового поколения).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</w:p>
    <w:p w:rsidR="00B05ABA" w:rsidRPr="00A57B15" w:rsidRDefault="00B05ABA" w:rsidP="00B05ABA">
      <w:pPr>
        <w:jc w:val="center"/>
        <w:rPr>
          <w:sz w:val="24"/>
          <w:szCs w:val="24"/>
        </w:rPr>
      </w:pPr>
      <w:r w:rsidRPr="00A57B15">
        <w:rPr>
          <w:noProof/>
          <w:sz w:val="24"/>
          <w:szCs w:val="24"/>
        </w:rPr>
        <w:drawing>
          <wp:inline distT="0" distB="0" distL="0" distR="0">
            <wp:extent cx="6088380" cy="23164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В связи с принятым в 2020 году решением о продолжении строительства ЛАЭС-2, в дальнейшем, по мере развертывания строительства второй очереди ЛАЭС-2, объемы инвестиций должны существенно возрасти.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общем объеме инвестиций по прежнему будут преобладать инвестиции в </w:t>
      </w:r>
      <w:r w:rsidRPr="00A57B15">
        <w:rPr>
          <w:b/>
          <w:bCs/>
          <w:sz w:val="24"/>
          <w:szCs w:val="24"/>
        </w:rPr>
        <w:t>производственные виды</w:t>
      </w:r>
      <w:r w:rsidRPr="00A57B15">
        <w:rPr>
          <w:sz w:val="24"/>
          <w:szCs w:val="24"/>
        </w:rPr>
        <w:t xml:space="preserve"> деятельности (около 90 %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Инвестиции в </w:t>
      </w:r>
      <w:r w:rsidRPr="00A57B15">
        <w:rPr>
          <w:b/>
          <w:bCs/>
          <w:sz w:val="24"/>
          <w:szCs w:val="24"/>
        </w:rPr>
        <w:t>непроизводственные виды</w:t>
      </w:r>
      <w:r w:rsidRPr="00A57B15">
        <w:rPr>
          <w:sz w:val="24"/>
          <w:szCs w:val="24"/>
        </w:rPr>
        <w:t xml:space="preserve"> деятельности составят около 10 % от общего объема инвестиций.</w:t>
      </w:r>
    </w:p>
    <w:p w:rsidR="00B05ABA" w:rsidRPr="00A57B15" w:rsidRDefault="00B05ABA" w:rsidP="00B05ABA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Продолжится строительство и ввод жилья, как многоквартирных жилых домов, так и индивидуальных, планируется строительство детского дошкольного учреждения на 240 мест, городского музея, информационного центра ЛАЭС в районе СКК «Энергетик».</w:t>
      </w:r>
    </w:p>
    <w:p w:rsidR="00B05ABA" w:rsidRPr="00A57B15" w:rsidRDefault="00B05ABA" w:rsidP="00B05ABA">
      <w:pPr>
        <w:ind w:firstLine="709"/>
        <w:jc w:val="both"/>
        <w:rPr>
          <w:b/>
          <w:sz w:val="24"/>
          <w:szCs w:val="24"/>
        </w:rPr>
      </w:pPr>
    </w:p>
    <w:p w:rsidR="00B05ABA" w:rsidRPr="00A57B15" w:rsidRDefault="00B05ABA" w:rsidP="00B05ABA">
      <w:pPr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В строительной отрасли,</w:t>
      </w:r>
      <w:r w:rsidRPr="00A57B15">
        <w:rPr>
          <w:sz w:val="24"/>
          <w:szCs w:val="24"/>
        </w:rPr>
        <w:t xml:space="preserve"> в связи с завершающимся строительством 1-й очереди замещающих мощностей ЛАЭС, прогнозируется небольшое сокращение объема работ с 34,9 млрд. руб. в 2021 году до 32,6 млрд. руб. в 2023 году.</w:t>
      </w:r>
    </w:p>
    <w:p w:rsidR="00837C52" w:rsidRPr="00A57B15" w:rsidRDefault="00837C52" w:rsidP="009C4AF0">
      <w:pPr>
        <w:ind w:firstLine="709"/>
        <w:jc w:val="both"/>
        <w:rPr>
          <w:sz w:val="24"/>
          <w:szCs w:val="24"/>
        </w:rPr>
      </w:pPr>
    </w:p>
    <w:p w:rsidR="00B05ABA" w:rsidRPr="00A57B15" w:rsidRDefault="00B05ABA" w:rsidP="009C4AF0">
      <w:pPr>
        <w:ind w:firstLine="709"/>
        <w:jc w:val="both"/>
        <w:rPr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23" w:name="_Toc234897105"/>
      <w:bookmarkStart w:id="24" w:name="_Toc267584906"/>
      <w:bookmarkStart w:id="25" w:name="_Toc52186977"/>
      <w:r w:rsidRPr="00A57B15">
        <w:rPr>
          <w:color w:val="auto"/>
        </w:rPr>
        <w:t>5.</w:t>
      </w:r>
      <w:r w:rsidR="00B41C60">
        <w:rPr>
          <w:color w:val="auto"/>
        </w:rPr>
        <w:t>3</w:t>
      </w:r>
      <w:r w:rsidR="00837C52" w:rsidRPr="00A57B15">
        <w:rPr>
          <w:color w:val="auto"/>
        </w:rPr>
        <w:t>.</w:t>
      </w:r>
      <w:r w:rsidRPr="00A57B15">
        <w:rPr>
          <w:color w:val="auto"/>
        </w:rPr>
        <w:t xml:space="preserve"> Жилищно-коммунальн</w:t>
      </w:r>
      <w:bookmarkEnd w:id="23"/>
      <w:bookmarkEnd w:id="24"/>
      <w:r w:rsidRPr="00A57B15">
        <w:rPr>
          <w:color w:val="auto"/>
        </w:rPr>
        <w:t>ая сфера</w:t>
      </w:r>
      <w:bookmarkEnd w:id="25"/>
    </w:p>
    <w:p w:rsidR="009C4AF0" w:rsidRPr="00A57B15" w:rsidRDefault="009C4AF0" w:rsidP="009C4AF0">
      <w:pPr>
        <w:keepNext/>
        <w:jc w:val="center"/>
        <w:rPr>
          <w:sz w:val="24"/>
          <w:szCs w:val="24"/>
        </w:rPr>
      </w:pPr>
      <w:bookmarkStart w:id="26" w:name="_Toc234897096"/>
      <w:bookmarkStart w:id="27" w:name="_Toc525552899"/>
    </w:p>
    <w:p w:rsidR="009C4AF0" w:rsidRPr="00A57B15" w:rsidRDefault="009C4AF0" w:rsidP="00B43A07">
      <w:pPr>
        <w:pStyle w:val="2"/>
        <w:rPr>
          <w:color w:val="auto"/>
        </w:rPr>
      </w:pPr>
      <w:bookmarkStart w:id="28" w:name="_Toc52186978"/>
      <w:r w:rsidRPr="00A57B15">
        <w:rPr>
          <w:color w:val="auto"/>
        </w:rPr>
        <w:t>5.</w:t>
      </w:r>
      <w:r w:rsidR="00B41C60">
        <w:rPr>
          <w:color w:val="auto"/>
        </w:rPr>
        <w:t>3</w:t>
      </w:r>
      <w:r w:rsidRPr="00A57B15">
        <w:rPr>
          <w:color w:val="auto"/>
        </w:rPr>
        <w:t xml:space="preserve">.1. </w:t>
      </w:r>
      <w:bookmarkStart w:id="29" w:name="_Toc16152559"/>
      <w:bookmarkEnd w:id="26"/>
      <w:bookmarkEnd w:id="27"/>
      <w:r w:rsidRPr="00A57B15">
        <w:rPr>
          <w:color w:val="auto"/>
        </w:rPr>
        <w:t>Жилищно-коммунальное хозяйство</w:t>
      </w:r>
      <w:bookmarkEnd w:id="28"/>
      <w:bookmarkEnd w:id="29"/>
    </w:p>
    <w:p w:rsidR="009C4AF0" w:rsidRPr="00A57B15" w:rsidRDefault="009C4AF0" w:rsidP="009C4AF0">
      <w:pPr>
        <w:pStyle w:val="21"/>
        <w:keepNext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8F4566" w:rsidRPr="00A57B15" w:rsidRDefault="008F4566" w:rsidP="008F4566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8F4566" w:rsidRPr="00A57B15" w:rsidRDefault="008F4566" w:rsidP="008F456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сфере ЖКХ планируется проведение следующих мероприятий:</w:t>
      </w:r>
    </w:p>
    <w:p w:rsidR="008F4566" w:rsidRPr="00A57B15" w:rsidRDefault="008F4566" w:rsidP="008F456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фонда;</w:t>
      </w:r>
    </w:p>
    <w:p w:rsidR="008F4566" w:rsidRPr="00A57B15" w:rsidRDefault="008F4566" w:rsidP="008F456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проведение реконструкции, модернизации жилищно-коммунального комплекса, организация </w:t>
      </w:r>
      <w:proofErr w:type="spellStart"/>
      <w:r w:rsidRPr="00A57B15">
        <w:rPr>
          <w:sz w:val="24"/>
          <w:szCs w:val="24"/>
        </w:rPr>
        <w:t>энерго</w:t>
      </w:r>
      <w:proofErr w:type="spellEnd"/>
      <w:r w:rsidR="00186C23" w:rsidRPr="00A57B15">
        <w:rPr>
          <w:sz w:val="24"/>
          <w:szCs w:val="24"/>
        </w:rPr>
        <w:t xml:space="preserve">- и </w:t>
      </w:r>
      <w:r w:rsidRPr="00A57B15">
        <w:rPr>
          <w:sz w:val="24"/>
          <w:szCs w:val="24"/>
        </w:rPr>
        <w:t>ресурсосбережения и привлечение инвестиций в эту сферу;</w:t>
      </w:r>
    </w:p>
    <w:p w:rsidR="008F4566" w:rsidRPr="00A57B15" w:rsidRDefault="008F4566" w:rsidP="008F456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формирование рыночных механизмов функционирования жилищно-коммунального комплекса и условий для снижения издержек и повышения качества жилищно-коммунальных услуг;</w:t>
      </w:r>
    </w:p>
    <w:p w:rsidR="008F4566" w:rsidRPr="00A57B15" w:rsidRDefault="008F4566" w:rsidP="008F456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внедрение системного мониторинга за техническим состоянием жилищного фонда и объектов инженерной инфраструктуры жилищно-коммунального комплекса, внедрение систем учета и регулирование потребления ресурсов (воды, газа, энергии);</w:t>
      </w:r>
    </w:p>
    <w:p w:rsidR="008F4566" w:rsidRPr="00A57B15" w:rsidRDefault="008F4566" w:rsidP="008F4566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специалистами отдела ЖКХ продолжится осуществление постоянного контроля за исполнением управляющими организациями условий договора управления в части уборки придомовых территорий и вывоза ТБО;</w:t>
      </w:r>
    </w:p>
    <w:p w:rsidR="008F4566" w:rsidRPr="00A57B15" w:rsidRDefault="008F4566" w:rsidP="008F4566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-</w:t>
      </w:r>
      <w:r w:rsidRPr="00A57B15">
        <w:rPr>
          <w:sz w:val="24"/>
          <w:szCs w:val="24"/>
        </w:rPr>
        <w:t>осуществлен переход на новые правила обращения с твердыми коммунальными отходами. Сбор, вывоз и утилизацию твердых коммунальных отходов осуществляется региональным оператором по обращению с твердыми коммунальными отходами. Мусоровозы оснащаются датчиками спутниковой системы ГЛОНАСС, данные передаются в систему, которая отслеживает их движение «в режиме реального времени»;</w:t>
      </w:r>
    </w:p>
    <w:p w:rsidR="008F4566" w:rsidRPr="00A57B15" w:rsidRDefault="008F4566" w:rsidP="008F4566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 xml:space="preserve">- </w:t>
      </w:r>
      <w:r w:rsidRPr="00A57B15">
        <w:rPr>
          <w:sz w:val="24"/>
          <w:szCs w:val="24"/>
        </w:rPr>
        <w:t>заключение концессионного соглашения в отношении объектов водоснабжения и водоотведения.</w:t>
      </w:r>
      <w:r w:rsidR="00186C23" w:rsidRPr="00A57B1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Предлагается заключить концессию на 30 лет, объем инвестиций составит 1,5 миллиарда рублей. Составлено техническое обоснование и финансовая модель, одобренная рабочей группой с участием областных специалистов. Инвестиционная программа составлена</w:t>
      </w:r>
      <w:r w:rsidR="00186C23" w:rsidRPr="00A57B1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с учетом откорректированной схемы водоснабжения города, но учитывает только замену существующих сетей, повышение их надежности, а не строительство новых.</w:t>
      </w:r>
      <w:r w:rsidR="00186C23" w:rsidRPr="00A57B1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Концессионер в течение 30 лет обязуется модернизировать и реконструировать систему, заменить все стальные и чугунные трубы, привести хозяйство в нормативное состояние.</w:t>
      </w:r>
    </w:p>
    <w:p w:rsidR="008F4566" w:rsidRPr="00A57B15" w:rsidRDefault="008F4566" w:rsidP="008F4566">
      <w:pPr>
        <w:tabs>
          <w:tab w:val="num" w:pos="-2127"/>
        </w:tabs>
        <w:ind w:right="57" w:firstLine="709"/>
        <w:jc w:val="both"/>
        <w:rPr>
          <w:sz w:val="24"/>
          <w:szCs w:val="24"/>
        </w:rPr>
      </w:pPr>
    </w:p>
    <w:p w:rsidR="008F4566" w:rsidRPr="00A57B15" w:rsidRDefault="008F4566" w:rsidP="008F4566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8F4566" w:rsidRPr="00A57B15" w:rsidRDefault="008F4566" w:rsidP="008F4566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Изношенная городская инфраструктура не позволяет оказывать населению качественные коммунальные услуги и поставлять ресурсы, возрастает риск аварийности систем теплоснабжения и водоснабжения в зимний период. </w:t>
      </w:r>
    </w:p>
    <w:p w:rsidR="008F4566" w:rsidRPr="00A57B15" w:rsidRDefault="008F4566" w:rsidP="008F4566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Неудовлетворительное состояние многих объектов инфраструктуры – следствие длительного недофинансирования их ремонта. В связи с нехваткой бюджетных средств, в настоящее время реальный путь решения проблемы – передача в концессию инженерных систем города.</w:t>
      </w:r>
    </w:p>
    <w:p w:rsidR="008F4566" w:rsidRPr="00A57B15" w:rsidRDefault="008F4566" w:rsidP="008F4566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Планируется продолжить заключение концессионных соглашений, по которым концессионеры</w:t>
      </w:r>
      <w:r w:rsidR="00186C23" w:rsidRPr="00A57B15">
        <w:rPr>
          <w:sz w:val="24"/>
          <w:szCs w:val="24"/>
        </w:rPr>
        <w:t xml:space="preserve"> </w:t>
      </w:r>
      <w:r w:rsidRPr="00A57B15">
        <w:rPr>
          <w:iCs/>
          <w:sz w:val="24"/>
          <w:szCs w:val="24"/>
        </w:rPr>
        <w:t xml:space="preserve">возьмут в эксплуатацию на определенное время объекты инфраструктуры, выполнят их ремонт и модернизацию, и за счет </w:t>
      </w:r>
      <w:r w:rsidRPr="00A57B15">
        <w:rPr>
          <w:sz w:val="24"/>
          <w:szCs w:val="24"/>
        </w:rPr>
        <w:t xml:space="preserve">повышения эффективности функционирования взятых в концессию объектов </w:t>
      </w:r>
      <w:r w:rsidRPr="00A57B15">
        <w:rPr>
          <w:iCs/>
          <w:sz w:val="24"/>
          <w:szCs w:val="24"/>
        </w:rPr>
        <w:t>вернут инвестиции и получат доход.</w:t>
      </w:r>
    </w:p>
    <w:p w:rsidR="008F4566" w:rsidRPr="00A57B15" w:rsidRDefault="008F4566" w:rsidP="008F4566">
      <w:pPr>
        <w:keepNext/>
        <w:ind w:firstLine="709"/>
        <w:rPr>
          <w:b/>
          <w:sz w:val="24"/>
          <w:szCs w:val="24"/>
        </w:rPr>
      </w:pPr>
    </w:p>
    <w:p w:rsidR="008F4566" w:rsidRPr="00A57B15" w:rsidRDefault="008F4566" w:rsidP="0091354A">
      <w:pPr>
        <w:keepNext/>
        <w:jc w:val="center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Основные проблемы и пути их решения.</w:t>
      </w:r>
    </w:p>
    <w:p w:rsidR="008F4566" w:rsidRPr="00A57B15" w:rsidRDefault="008F4566" w:rsidP="008F4566">
      <w:pPr>
        <w:ind w:firstLine="709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8F4566" w:rsidRPr="00A57B15" w:rsidTr="00D0692A">
        <w:tc>
          <w:tcPr>
            <w:tcW w:w="4928" w:type="dxa"/>
          </w:tcPr>
          <w:p w:rsidR="008F4566" w:rsidRPr="00A57B15" w:rsidRDefault="008F4566" w:rsidP="003D3D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Основные проблемы 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Предлагаемые пути решения</w:t>
            </w:r>
          </w:p>
        </w:tc>
      </w:tr>
      <w:tr w:rsidR="008F4566" w:rsidRPr="00A57B15" w:rsidTr="00D0692A">
        <w:tc>
          <w:tcPr>
            <w:tcW w:w="4928" w:type="dxa"/>
            <w:vAlign w:val="center"/>
          </w:tcPr>
          <w:p w:rsidR="008F4566" w:rsidRPr="00A57B15" w:rsidRDefault="008F4566" w:rsidP="003D3DB1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1. В большинстве случаев отдельные инженерные системы и оборудование домов, конструктивные элементы зданий уже отработали свой нормативный срок эксплуатации. В связи с этим возникла необходимость проведения капитального ремонта систем водоснабжения, теплоснабжения, канализации и лифтового оборудования.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капитального ремонта в многоквартирных жилых домах с привлечением средств некоммерческой организации «Фонд капитального ремонта многоквартирных домов Ленинградской области, муниципального бюджета, собственников жилых помещений.</w:t>
            </w:r>
          </w:p>
        </w:tc>
      </w:tr>
      <w:tr w:rsidR="008F4566" w:rsidRPr="00A57B15" w:rsidTr="00D0692A">
        <w:tc>
          <w:tcPr>
            <w:tcW w:w="4928" w:type="dxa"/>
            <w:vAlign w:val="center"/>
          </w:tcPr>
          <w:p w:rsidR="008F4566" w:rsidRPr="00A57B15" w:rsidRDefault="008F4566" w:rsidP="003D3DB1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2. Наличие просроченной задолженности за жилищно-коммунальные услуги.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исковых заявлений в суд</w:t>
            </w:r>
          </w:p>
        </w:tc>
      </w:tr>
      <w:tr w:rsidR="008F4566" w:rsidRPr="00A57B15" w:rsidTr="00D0692A">
        <w:tc>
          <w:tcPr>
            <w:tcW w:w="4928" w:type="dxa"/>
            <w:vAlign w:val="center"/>
          </w:tcPr>
          <w:p w:rsidR="008F4566" w:rsidRPr="00A57B15" w:rsidRDefault="008F4566" w:rsidP="003D3D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3. Привлечение частного капитала в сферу жилищно-коммунального обслуживания, развитие конкуренции на рынке жилищно-коммунальных услуг.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Проведение открытого конкурса по выбору управляющей организации многоквартирными жилыми домами.</w:t>
            </w:r>
          </w:p>
        </w:tc>
      </w:tr>
      <w:tr w:rsidR="008F4566" w:rsidRPr="00A57B15" w:rsidTr="00D0692A">
        <w:tc>
          <w:tcPr>
            <w:tcW w:w="4928" w:type="dxa"/>
            <w:vAlign w:val="center"/>
          </w:tcPr>
          <w:p w:rsidR="008F4566" w:rsidRPr="00A57B15" w:rsidRDefault="008F4566" w:rsidP="003D3D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4. Проведение модернизации и развития объектов коммунального хозяйства в муниципальных </w:t>
            </w:r>
            <w:proofErr w:type="spellStart"/>
            <w:r w:rsidRPr="00A57B15">
              <w:rPr>
                <w:sz w:val="24"/>
                <w:szCs w:val="24"/>
              </w:rPr>
              <w:t>ресурсоснабжающих</w:t>
            </w:r>
            <w:proofErr w:type="spellEnd"/>
            <w:r w:rsidRPr="00A57B15">
              <w:rPr>
                <w:sz w:val="24"/>
                <w:szCs w:val="24"/>
              </w:rPr>
              <w:t xml:space="preserve"> предприятиях.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Участие в муниципальной программе Сосновоборского городского округа «Городское хозяйство».</w:t>
            </w:r>
          </w:p>
        </w:tc>
      </w:tr>
      <w:tr w:rsidR="008F4566" w:rsidRPr="00A57B15" w:rsidTr="00D0692A">
        <w:tc>
          <w:tcPr>
            <w:tcW w:w="4928" w:type="dxa"/>
            <w:vAlign w:val="center"/>
          </w:tcPr>
          <w:p w:rsidR="008F4566" w:rsidRPr="00A57B15" w:rsidRDefault="008F4566" w:rsidP="003D3DB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5. Изношенность городских инженерных сетей.</w:t>
            </w:r>
          </w:p>
        </w:tc>
        <w:tc>
          <w:tcPr>
            <w:tcW w:w="4819" w:type="dxa"/>
          </w:tcPr>
          <w:p w:rsidR="008F4566" w:rsidRPr="00A57B15" w:rsidRDefault="008F4566" w:rsidP="003D3DB1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Передача объектов инфраструктуры в концессию.</w:t>
            </w:r>
          </w:p>
        </w:tc>
      </w:tr>
    </w:tbl>
    <w:p w:rsidR="008F4566" w:rsidRPr="00A57B15" w:rsidRDefault="008F4566" w:rsidP="008F4566"/>
    <w:p w:rsidR="009C4AF0" w:rsidRPr="00A57B15" w:rsidRDefault="009C4AF0" w:rsidP="009C4AF0"/>
    <w:p w:rsidR="009C4AF0" w:rsidRPr="00A57B15" w:rsidRDefault="009C4AF0" w:rsidP="00B43A07">
      <w:pPr>
        <w:pStyle w:val="2"/>
        <w:rPr>
          <w:color w:val="auto"/>
        </w:rPr>
      </w:pPr>
      <w:bookmarkStart w:id="30" w:name="_Toc16152560"/>
      <w:bookmarkStart w:id="31" w:name="_Toc52186979"/>
      <w:r w:rsidRPr="00A57B15">
        <w:rPr>
          <w:color w:val="auto"/>
        </w:rPr>
        <w:t>5.</w:t>
      </w:r>
      <w:r w:rsidR="00B41C60">
        <w:rPr>
          <w:color w:val="auto"/>
        </w:rPr>
        <w:t>3</w:t>
      </w:r>
      <w:r w:rsidRPr="00A57B15">
        <w:rPr>
          <w:color w:val="auto"/>
        </w:rPr>
        <w:t>.2. Внешнее благоустройство и дорожное хозяйство.</w:t>
      </w:r>
      <w:bookmarkEnd w:id="30"/>
      <w:bookmarkEnd w:id="31"/>
    </w:p>
    <w:p w:rsidR="009C4AF0" w:rsidRPr="00A57B15" w:rsidRDefault="009C4AF0" w:rsidP="009C4AF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4B6120" w:rsidRPr="00A57B15" w:rsidRDefault="009C4AF0" w:rsidP="004B612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</w:t>
      </w:r>
      <w:r w:rsidR="005A72BA" w:rsidRPr="00A57B15">
        <w:rPr>
          <w:b/>
          <w:bCs/>
          <w:sz w:val="24"/>
          <w:szCs w:val="24"/>
        </w:rPr>
        <w:t>20</w:t>
      </w:r>
      <w:r w:rsidRPr="00A57B15">
        <w:rPr>
          <w:b/>
          <w:bCs/>
          <w:sz w:val="24"/>
          <w:szCs w:val="24"/>
        </w:rPr>
        <w:t xml:space="preserve"> года</w:t>
      </w:r>
    </w:p>
    <w:p w:rsidR="005A72BA" w:rsidRPr="00A57B15" w:rsidRDefault="005A72BA" w:rsidP="004B612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sz w:val="24"/>
          <w:szCs w:val="24"/>
        </w:rPr>
        <w:t>Деятельность по благоустройству городских территорий направлена на улучшение качества, увеличение периодичности и объемов работ.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В целях повышения комфортности проживания жителей города, связанных с улучшением эстетического состояния городских территорий, в 2020 году планируется ряд мероприятий, в том числе: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1. Ремонт и окраска малых форм (скамейки, ограждения, цветники, декоративные формы) и постоянный контроль их состояния, а так же приобретение новых малых форм.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2. Ремонт на мемориальном комплексе «Защитникам Отечества», у обелиска Славы.</w:t>
      </w:r>
    </w:p>
    <w:p w:rsidR="005A72BA" w:rsidRPr="00A57B15" w:rsidRDefault="006D125D" w:rsidP="005A72BA">
      <w:pPr>
        <w:pStyle w:val="a7"/>
        <w:ind w:right="-1" w:firstLine="708"/>
      </w:pPr>
      <w:r>
        <w:t>3</w:t>
      </w:r>
      <w:r w:rsidR="005A72BA" w:rsidRPr="00A57B15">
        <w:t>. Посадка цветов на городских цветниках.</w:t>
      </w:r>
    </w:p>
    <w:p w:rsidR="005A72BA" w:rsidRPr="00A57B15" w:rsidRDefault="006D125D" w:rsidP="005A72BA">
      <w:pPr>
        <w:pStyle w:val="a7"/>
        <w:ind w:right="-1" w:firstLine="708"/>
      </w:pPr>
      <w:r>
        <w:t>4</w:t>
      </w:r>
      <w:r w:rsidR="005A72BA" w:rsidRPr="00A57B15">
        <w:t>. Текущий ремонт газонов.</w:t>
      </w:r>
    </w:p>
    <w:p w:rsidR="005A72BA" w:rsidRPr="00A57B15" w:rsidRDefault="006D125D" w:rsidP="005A72BA">
      <w:pPr>
        <w:pStyle w:val="a7"/>
        <w:ind w:right="-1" w:firstLine="708"/>
      </w:pPr>
      <w:r>
        <w:lastRenderedPageBreak/>
        <w:t>5</w:t>
      </w:r>
      <w:r w:rsidR="005A72BA" w:rsidRPr="00A57B15">
        <w:t>. Посадка деревьев и корчевка пней.</w:t>
      </w:r>
    </w:p>
    <w:p w:rsidR="005A72BA" w:rsidRPr="00A57B15" w:rsidRDefault="006D125D" w:rsidP="005A72BA">
      <w:pPr>
        <w:pStyle w:val="a7"/>
        <w:ind w:right="-1" w:firstLine="708"/>
      </w:pPr>
      <w:r>
        <w:t>6</w:t>
      </w:r>
      <w:r w:rsidR="005A72BA" w:rsidRPr="00A57B15">
        <w:t>. Обеспечение санитарного состояния мест массового отдыха и городских территорий.</w:t>
      </w:r>
    </w:p>
    <w:p w:rsidR="005A72BA" w:rsidRPr="00A57B15" w:rsidRDefault="006D125D" w:rsidP="005A72BA">
      <w:pPr>
        <w:pStyle w:val="a7"/>
        <w:ind w:right="-1" w:firstLine="708"/>
      </w:pPr>
      <w:r>
        <w:t>7</w:t>
      </w:r>
      <w:r w:rsidR="005A72BA" w:rsidRPr="00A57B15">
        <w:t>. Продолжатся работы по ликвидации несанкционированных свалок и вывоз ТБО с селитебной части города и с кладбищ и мемориалов.</w:t>
      </w:r>
    </w:p>
    <w:p w:rsidR="005A72BA" w:rsidRPr="00A57B15" w:rsidRDefault="006D125D" w:rsidP="005A72BA">
      <w:pPr>
        <w:pStyle w:val="a7"/>
        <w:ind w:right="-1" w:firstLine="708"/>
      </w:pPr>
      <w:r>
        <w:t>8</w:t>
      </w:r>
      <w:r w:rsidR="005A72BA" w:rsidRPr="00A57B15">
        <w:t xml:space="preserve">. Обустройство мест (площадок) накопления твердых коммунальных отходов в городе Сосновый Бор, в количестве 40 штук. </w:t>
      </w:r>
    </w:p>
    <w:p w:rsidR="005A72BA" w:rsidRPr="00A57B15" w:rsidRDefault="006D125D" w:rsidP="005A72BA">
      <w:pPr>
        <w:pStyle w:val="a7"/>
        <w:ind w:right="-1" w:firstLine="708"/>
      </w:pPr>
      <w:r>
        <w:t>9</w:t>
      </w:r>
      <w:r w:rsidR="005A72BA" w:rsidRPr="00A57B15">
        <w:t>. Приобретение контейнеров для сбора мусора.</w:t>
      </w:r>
    </w:p>
    <w:p w:rsidR="005A72BA" w:rsidRPr="00A57B15" w:rsidRDefault="006D125D" w:rsidP="005A72BA">
      <w:pPr>
        <w:pStyle w:val="a7"/>
        <w:ind w:right="-1" w:firstLine="708"/>
      </w:pPr>
      <w:r>
        <w:t>10</w:t>
      </w:r>
      <w:r w:rsidR="005A72BA" w:rsidRPr="00A57B15">
        <w:t>. Приобретение новых малых форм (скамеек, урн).</w:t>
      </w:r>
    </w:p>
    <w:p w:rsidR="005A72BA" w:rsidRPr="00A57B15" w:rsidRDefault="006D125D" w:rsidP="005A72BA">
      <w:pPr>
        <w:pStyle w:val="a7"/>
        <w:ind w:right="-1" w:firstLine="708"/>
      </w:pPr>
      <w:r>
        <w:t>11</w:t>
      </w:r>
      <w:r w:rsidR="005A72BA" w:rsidRPr="00A57B15">
        <w:t>. Ремонт спортивных площадок в г. Сосновый Бор.</w:t>
      </w:r>
    </w:p>
    <w:p w:rsidR="005A72BA" w:rsidRPr="00A57B15" w:rsidRDefault="006D125D" w:rsidP="005A72BA">
      <w:pPr>
        <w:pStyle w:val="a7"/>
        <w:ind w:right="-1" w:firstLine="708"/>
      </w:pPr>
      <w:r>
        <w:t>12</w:t>
      </w:r>
      <w:r w:rsidR="005A72BA" w:rsidRPr="00A57B15">
        <w:t>. Текущий ремонт пешеходных и автомобильных мостов.</w:t>
      </w:r>
    </w:p>
    <w:p w:rsidR="005A72BA" w:rsidRPr="00A57B15" w:rsidRDefault="006D125D" w:rsidP="005A72BA">
      <w:pPr>
        <w:pStyle w:val="a7"/>
        <w:ind w:right="-1" w:firstLine="708"/>
      </w:pPr>
      <w:r>
        <w:t>13</w:t>
      </w:r>
      <w:r w:rsidR="005A72BA" w:rsidRPr="00A57B15">
        <w:t>. Работы по борьбе с борщевиком на улично</w:t>
      </w:r>
      <w:r w:rsidR="00CD53CB" w:rsidRPr="00A57B15">
        <w:t>-</w:t>
      </w:r>
      <w:r w:rsidR="005A72BA" w:rsidRPr="00A57B15">
        <w:t>дорожной сети в границах города.</w:t>
      </w:r>
    </w:p>
    <w:p w:rsidR="005A72BA" w:rsidRPr="00A57B15" w:rsidRDefault="006D125D" w:rsidP="005A72BA">
      <w:pPr>
        <w:pStyle w:val="a7"/>
        <w:ind w:right="-1" w:firstLine="708"/>
      </w:pPr>
      <w:r>
        <w:t>14</w:t>
      </w:r>
      <w:r w:rsidR="005A72BA" w:rsidRPr="00A57B15">
        <w:t xml:space="preserve">. </w:t>
      </w:r>
      <w:proofErr w:type="spellStart"/>
      <w:r w:rsidR="005A72BA" w:rsidRPr="00A57B15">
        <w:t>Акарицидная</w:t>
      </w:r>
      <w:proofErr w:type="spellEnd"/>
      <w:r w:rsidR="005A72BA" w:rsidRPr="00A57B15">
        <w:t xml:space="preserve"> обработка территорий вокруг лагерей отдыха детей в летний период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Все работы проводятся в рамках муниципальной программы «Городское хозяйство на 2014-2024 годы» в т.ч.:</w:t>
      </w:r>
    </w:p>
    <w:p w:rsidR="005A72BA" w:rsidRPr="00A57B15" w:rsidRDefault="005A72BA" w:rsidP="005A72BA">
      <w:pPr>
        <w:pStyle w:val="a7"/>
        <w:ind w:right="-1" w:firstLine="708"/>
      </w:pPr>
      <w:r w:rsidRPr="00A57B15">
        <w:t xml:space="preserve">- в рамках ведомственной целевой программы «Обеспечение безопасности дорожного движения </w:t>
      </w:r>
      <w:proofErr w:type="gramStart"/>
      <w:r w:rsidRPr="00A57B15">
        <w:t>в</w:t>
      </w:r>
      <w:proofErr w:type="gramEnd"/>
      <w:r w:rsidRPr="00A57B15">
        <w:t xml:space="preserve"> </w:t>
      </w:r>
      <w:proofErr w:type="gramStart"/>
      <w:r w:rsidRPr="00A57B15">
        <w:t>Сосновоборском</w:t>
      </w:r>
      <w:proofErr w:type="gramEnd"/>
      <w:r w:rsidRPr="00A57B15">
        <w:t xml:space="preserve"> городском округе» будут обустроены нерегулируемые пешеходные переходы дублирующими знаками 5.19.1 «Пешеходный переход» на Г-образных опорах, выполнено восстановление дорожной разметки, выполнены работы по обустройству опасных участков дорог ограждениями и искусственными дорожными неровностями, другие аналогичные работы по обеспечению комфортного проживания людей. 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- в рамках ведомственной целевой программы «Ремонт улично-дорожной сети» проводятся работы по ямочному ремонту УДС (4007 м</w:t>
      </w:r>
      <w:proofErr w:type="gramStart"/>
      <w:r w:rsidRPr="00A57B15">
        <w:rPr>
          <w:vertAlign w:val="superscript"/>
        </w:rPr>
        <w:t>2</w:t>
      </w:r>
      <w:proofErr w:type="gramEnd"/>
      <w:r w:rsidRPr="00A57B15">
        <w:t>), по текущему ремонту (картами) – 10 000 м</w:t>
      </w:r>
      <w:r w:rsidRPr="00A57B15">
        <w:rPr>
          <w:vertAlign w:val="superscript"/>
        </w:rPr>
        <w:t>2</w:t>
      </w:r>
      <w:r w:rsidRPr="00A57B15">
        <w:t>, ремонт автомобильных дорог местного значения включая и тротуары (асфальтобетон) – 49 769 м</w:t>
      </w:r>
      <w:r w:rsidRPr="00A57B15">
        <w:rPr>
          <w:vertAlign w:val="superscript"/>
        </w:rPr>
        <w:t>2</w:t>
      </w:r>
      <w:r w:rsidRPr="00A57B15">
        <w:t xml:space="preserve">. </w:t>
      </w:r>
    </w:p>
    <w:p w:rsidR="005A72BA" w:rsidRPr="00A57B15" w:rsidRDefault="005A72BA" w:rsidP="005A72BA">
      <w:pPr>
        <w:pStyle w:val="a7"/>
        <w:ind w:right="-1" w:firstLine="708"/>
      </w:pPr>
    </w:p>
    <w:p w:rsidR="005A72BA" w:rsidRPr="00A57B15" w:rsidRDefault="005A72BA" w:rsidP="005A72BA">
      <w:pPr>
        <w:pStyle w:val="a7"/>
        <w:keepNext/>
        <w:ind w:firstLine="709"/>
        <w:rPr>
          <w:b/>
        </w:rPr>
      </w:pPr>
      <w:r w:rsidRPr="00A57B15">
        <w:rPr>
          <w:b/>
        </w:rPr>
        <w:t>Прогноз на 202</w:t>
      </w:r>
      <w:r w:rsidR="00AC0B4E" w:rsidRPr="00A57B15">
        <w:rPr>
          <w:b/>
        </w:rPr>
        <w:t>1</w:t>
      </w:r>
      <w:r w:rsidRPr="00A57B15">
        <w:rPr>
          <w:b/>
        </w:rPr>
        <w:t>-202</w:t>
      </w:r>
      <w:r w:rsidR="00AC0B4E" w:rsidRPr="00A57B15">
        <w:rPr>
          <w:b/>
        </w:rPr>
        <w:t>3</w:t>
      </w:r>
      <w:r w:rsidRPr="00A57B15">
        <w:rPr>
          <w:b/>
        </w:rPr>
        <w:t xml:space="preserve"> годы. </w:t>
      </w:r>
    </w:p>
    <w:p w:rsidR="005A72BA" w:rsidRPr="00A57B15" w:rsidRDefault="005A72BA" w:rsidP="005A72BA">
      <w:pPr>
        <w:pStyle w:val="a7"/>
        <w:ind w:right="-1" w:firstLine="708"/>
      </w:pPr>
      <w:r w:rsidRPr="00A57B15">
        <w:t>Решение задач благоустройства планируется в рамках реализации муниципальной программы «Городское хозяйство на 2014-2024 годы», в рамках которой будут выполнены мероприятия, обеспечивающие повышение уровня комфортности проживания жителей Сосновоборского округа, в том числе в рамках подпрограмм:</w:t>
      </w:r>
    </w:p>
    <w:p w:rsidR="005A72BA" w:rsidRPr="00A57B15" w:rsidRDefault="005A72BA" w:rsidP="005A72BA">
      <w:pPr>
        <w:pStyle w:val="aff3"/>
        <w:numPr>
          <w:ilvl w:val="0"/>
          <w:numId w:val="4"/>
        </w:numPr>
        <w:jc w:val="both"/>
      </w:pPr>
      <w:r w:rsidRPr="00A57B15">
        <w:t>«Содержание территорий общего пользования Сосновоборского городского округа», в которой предусмотрены мероприятия, обеспечивающие повышение эффективности и безопасности функционирования улично-дорожной сети.</w:t>
      </w:r>
    </w:p>
    <w:p w:rsidR="005A72BA" w:rsidRPr="00A57B15" w:rsidRDefault="005A72BA" w:rsidP="005A72BA">
      <w:pPr>
        <w:pStyle w:val="aff3"/>
        <w:numPr>
          <w:ilvl w:val="0"/>
          <w:numId w:val="4"/>
        </w:numPr>
        <w:jc w:val="both"/>
      </w:pPr>
      <w:r w:rsidRPr="00A57B15">
        <w:t>«Содержание и ремонт объектов благоустройства Сосновоборского городского округа», в которой предусмотрены мероприятия, обеспечивающие нормативное  состояние объектов благоустройства.</w:t>
      </w:r>
    </w:p>
    <w:p w:rsidR="005A72BA" w:rsidRPr="00A57B15" w:rsidRDefault="005A72BA" w:rsidP="005A72BA">
      <w:pPr>
        <w:pStyle w:val="aff3"/>
        <w:numPr>
          <w:ilvl w:val="0"/>
          <w:numId w:val="4"/>
        </w:numPr>
        <w:jc w:val="both"/>
      </w:pPr>
      <w:r w:rsidRPr="00A57B15">
        <w:t>«Обращение с отходами», в которой предусмотрены  мероприятия, обеспечивающие экологическое, санитарно-эпидемиологическое благополучие населения и охрану окружающей среды территории СГО, а именно: вывоз ТБО с селитебной части города, кладбищ и мемориалов, общегородские мероприятия по благоустройству и улучшению санитарного состояния города, уборку несанкционированных свалок. Обустройство мест (площадок) накопления ТКО.</w:t>
      </w:r>
    </w:p>
    <w:p w:rsidR="005A72BA" w:rsidRPr="00A57B15" w:rsidRDefault="005A72BA" w:rsidP="005A72BA">
      <w:pPr>
        <w:pStyle w:val="aff3"/>
        <w:numPr>
          <w:ilvl w:val="0"/>
          <w:numId w:val="4"/>
        </w:numPr>
        <w:jc w:val="both"/>
      </w:pPr>
      <w:r w:rsidRPr="00A57B15">
        <w:t>«Содержание системы дренажно-ливневой канализации Сосновоборского городского округа», включающую в себя мероприятия по</w:t>
      </w:r>
      <w:r w:rsidRPr="00A57B15">
        <w:rPr>
          <w:bCs/>
        </w:rPr>
        <w:t xml:space="preserve"> содержанию дренажно-ливневой канализации и по капитальному ремонту дренажно-ливневой канализации.</w:t>
      </w:r>
    </w:p>
    <w:p w:rsidR="005A72BA" w:rsidRPr="00A57B15" w:rsidRDefault="005A72BA" w:rsidP="005A72BA">
      <w:pPr>
        <w:pStyle w:val="aff3"/>
        <w:numPr>
          <w:ilvl w:val="0"/>
          <w:numId w:val="4"/>
        </w:numPr>
        <w:jc w:val="both"/>
      </w:pPr>
      <w:r w:rsidRPr="00A57B15">
        <w:t xml:space="preserve">Содержание и уход за зелеными насаждениями на территории Сосновоборского городского округа, включающую в себя мероприятия по уходу, восстановлению и </w:t>
      </w:r>
      <w:r w:rsidRPr="00A57B15">
        <w:rPr>
          <w:shd w:val="clear" w:color="auto" w:fill="FFFFFF"/>
        </w:rPr>
        <w:t>посадке</w:t>
      </w:r>
      <w:r w:rsidRPr="00A57B15">
        <w:t xml:space="preserve"> зеленых насаждений. Работы по борьбе с борщевиком на улично</w:t>
      </w:r>
      <w:r w:rsidR="00CD53CB" w:rsidRPr="00A57B15">
        <w:t>-</w:t>
      </w:r>
      <w:r w:rsidRPr="00A57B15">
        <w:t xml:space="preserve">дорожной сети в границах Сосновоборского городского округа. </w:t>
      </w:r>
      <w:proofErr w:type="spellStart"/>
      <w:r w:rsidRPr="00A57B15">
        <w:t>Акарицидная</w:t>
      </w:r>
      <w:proofErr w:type="spellEnd"/>
      <w:r w:rsidRPr="00A57B15">
        <w:t xml:space="preserve"> обработка территорий вокруг лагерей отдыха детей в летний период.</w:t>
      </w:r>
    </w:p>
    <w:p w:rsidR="005A72BA" w:rsidRPr="00A57B15" w:rsidRDefault="005A72BA" w:rsidP="005A72BA">
      <w:pPr>
        <w:pStyle w:val="aff3"/>
        <w:jc w:val="both"/>
      </w:pPr>
    </w:p>
    <w:p w:rsidR="005A72BA" w:rsidRPr="00A57B15" w:rsidRDefault="005A72BA" w:rsidP="005A72BA">
      <w:pPr>
        <w:shd w:val="clear" w:color="auto" w:fill="FFFFFF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В дальнейшем планируется продление срока действия муниципальной программы.</w:t>
      </w:r>
    </w:p>
    <w:p w:rsidR="005A72BA" w:rsidRPr="00A57B15" w:rsidRDefault="005A72BA" w:rsidP="005A72BA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6"/>
        <w:gridCol w:w="5695"/>
      </w:tblGrid>
      <w:tr w:rsidR="005A72BA" w:rsidRPr="00A57B15" w:rsidTr="003C7EA9">
        <w:tc>
          <w:tcPr>
            <w:tcW w:w="4217" w:type="dxa"/>
          </w:tcPr>
          <w:p w:rsidR="005A72BA" w:rsidRPr="00A57B15" w:rsidRDefault="005A72BA" w:rsidP="003C7EA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812" w:type="dxa"/>
          </w:tcPr>
          <w:p w:rsidR="005A72BA" w:rsidRPr="00A57B15" w:rsidRDefault="005A72BA" w:rsidP="003C7EA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5A72BA" w:rsidRPr="00A57B15" w:rsidTr="003C7EA9">
        <w:tc>
          <w:tcPr>
            <w:tcW w:w="4217" w:type="dxa"/>
          </w:tcPr>
          <w:p w:rsidR="005A72BA" w:rsidRPr="00A57B15" w:rsidRDefault="005A72BA" w:rsidP="003C7EA9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 xml:space="preserve">Физический и моральный износ объектов внешнего благоустройства, в связи с этим, нецелесообразность выполнения ремонтов. </w:t>
            </w:r>
          </w:p>
        </w:tc>
        <w:tc>
          <w:tcPr>
            <w:tcW w:w="5812" w:type="dxa"/>
          </w:tcPr>
          <w:p w:rsidR="005A72BA" w:rsidRPr="00A57B15" w:rsidRDefault="005A72BA" w:rsidP="003C7EA9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 xml:space="preserve">Реконструкция или строительство новых объектов. Предусматривать  в бюджете средства на приобретение новых малых форм </w:t>
            </w:r>
          </w:p>
        </w:tc>
      </w:tr>
    </w:tbl>
    <w:p w:rsidR="009C4AF0" w:rsidRPr="00A57B15" w:rsidRDefault="009C4AF0" w:rsidP="009C4AF0">
      <w:pPr>
        <w:shd w:val="clear" w:color="auto" w:fill="FFFFFF"/>
        <w:rPr>
          <w:sz w:val="24"/>
          <w:szCs w:val="24"/>
        </w:rPr>
      </w:pPr>
    </w:p>
    <w:p w:rsidR="009C4AF0" w:rsidRPr="00A57B15" w:rsidRDefault="009C4AF0" w:rsidP="009C4AF0">
      <w:pPr>
        <w:shd w:val="clear" w:color="auto" w:fill="FFFFFF"/>
        <w:rPr>
          <w:sz w:val="24"/>
          <w:szCs w:val="24"/>
        </w:rPr>
      </w:pPr>
    </w:p>
    <w:p w:rsidR="009C4AF0" w:rsidRPr="00A57B15" w:rsidRDefault="00B41C60" w:rsidP="00B43A07">
      <w:pPr>
        <w:pStyle w:val="2"/>
        <w:rPr>
          <w:color w:val="auto"/>
        </w:rPr>
      </w:pPr>
      <w:bookmarkStart w:id="32" w:name="_Toc16152561"/>
      <w:bookmarkStart w:id="33" w:name="_Toc52186980"/>
      <w:r>
        <w:rPr>
          <w:color w:val="auto"/>
        </w:rPr>
        <w:t>5.3</w:t>
      </w:r>
      <w:r w:rsidR="009C4AF0" w:rsidRPr="00A57B15">
        <w:rPr>
          <w:color w:val="auto"/>
        </w:rPr>
        <w:t>.3. Улучшение жилищных условий</w:t>
      </w:r>
      <w:bookmarkEnd w:id="32"/>
      <w:bookmarkEnd w:id="33"/>
    </w:p>
    <w:p w:rsidR="009C4AF0" w:rsidRPr="00A57B15" w:rsidRDefault="009C4AF0" w:rsidP="009C4AF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9C4AF0" w:rsidRPr="00A57B15" w:rsidRDefault="009C4AF0" w:rsidP="009C4AF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</w:t>
      </w:r>
      <w:r w:rsidR="000B6E48" w:rsidRPr="00A57B15">
        <w:rPr>
          <w:b/>
          <w:bCs/>
          <w:sz w:val="24"/>
          <w:szCs w:val="24"/>
        </w:rPr>
        <w:t>20</w:t>
      </w:r>
      <w:r w:rsidRPr="00A57B15">
        <w:rPr>
          <w:b/>
          <w:bCs/>
          <w:sz w:val="24"/>
          <w:szCs w:val="24"/>
        </w:rPr>
        <w:t xml:space="preserve"> года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Прогноз составлен на основе проведенного анализа обеспечения жильем граждан.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В 2020 году планируется улучшение жилищных условий </w:t>
      </w:r>
      <w:r w:rsidRPr="00A57B15">
        <w:rPr>
          <w:b/>
          <w:sz w:val="24"/>
          <w:szCs w:val="24"/>
        </w:rPr>
        <w:t xml:space="preserve">43 </w:t>
      </w:r>
      <w:r w:rsidRPr="00A57B15">
        <w:rPr>
          <w:sz w:val="24"/>
          <w:szCs w:val="24"/>
        </w:rPr>
        <w:t>семей: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1)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</w:t>
      </w:r>
      <w:r w:rsidRPr="00A57B15">
        <w:rPr>
          <w:b/>
          <w:sz w:val="24"/>
          <w:szCs w:val="24"/>
        </w:rPr>
        <w:t>12 семей</w:t>
      </w:r>
      <w:r w:rsidRPr="00A57B15">
        <w:rPr>
          <w:sz w:val="24"/>
          <w:szCs w:val="24"/>
        </w:rPr>
        <w:t xml:space="preserve">, в том числе: </w:t>
      </w:r>
    </w:p>
    <w:p w:rsidR="000B6E48" w:rsidRPr="00A57B15" w:rsidRDefault="000B6E48" w:rsidP="000B6E48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граждан с использованием средств ипотечного кредита (займа)» - 4 семьи;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молодых граждан (молодых семей)»</w:t>
      </w:r>
      <w:r w:rsidR="00F35FFE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- 8 семей</w:t>
      </w:r>
      <w:r w:rsidRPr="00A57B15">
        <w:rPr>
          <w:b/>
          <w:sz w:val="24"/>
          <w:szCs w:val="24"/>
        </w:rPr>
        <w:t xml:space="preserve">. 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2) В рамках реализации муниципальной программы «Жилище на 2014-2020 годы» - </w:t>
      </w:r>
      <w:r w:rsidRPr="00A57B15">
        <w:rPr>
          <w:b/>
          <w:sz w:val="24"/>
          <w:szCs w:val="24"/>
        </w:rPr>
        <w:t>27 семей</w:t>
      </w:r>
      <w:r w:rsidRPr="00A57B15">
        <w:rPr>
          <w:sz w:val="24"/>
          <w:szCs w:val="24"/>
        </w:rPr>
        <w:t>, в том числе: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по подпрограмме «Поддержка граждан, нуждающихся в улучшении жилищных условий, на основе принципов ипотечного кредитования» - 2 семьи;</w:t>
      </w:r>
    </w:p>
    <w:p w:rsidR="000B6E48" w:rsidRPr="00A57B15" w:rsidRDefault="000B6E48" w:rsidP="000B6E4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- по подпрограмме «Обеспечение жилыми помещениями работников бюджетной сферы Сосновоборского городского округа» - 11 семей;</w:t>
      </w:r>
    </w:p>
    <w:p w:rsidR="000B6E48" w:rsidRPr="00A57B15" w:rsidRDefault="000B6E48" w:rsidP="000B6E48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молодежи» - 1 семья;</w:t>
      </w:r>
    </w:p>
    <w:p w:rsidR="000B6E48" w:rsidRPr="00A57B15" w:rsidRDefault="000B6E48" w:rsidP="000B6E48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отдельных категорий граждан, установленных федеральным и областным законодательством»</w:t>
      </w:r>
      <w:r w:rsidR="00F35FFE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- 1 семья, имеющая в своем составе ребенка - инвалида страдающего тяжелой формой хронического заболевания. 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по подпрограмме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- 12 семей.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- </w:t>
      </w:r>
      <w:r w:rsidRPr="00A57B15">
        <w:rPr>
          <w:b/>
          <w:sz w:val="24"/>
          <w:szCs w:val="24"/>
        </w:rPr>
        <w:t>4 семьи</w:t>
      </w:r>
      <w:r w:rsidRPr="00A57B15">
        <w:rPr>
          <w:sz w:val="24"/>
          <w:szCs w:val="24"/>
        </w:rPr>
        <w:t>, из них:</w:t>
      </w:r>
    </w:p>
    <w:p w:rsidR="000B6E48" w:rsidRPr="00A57B15" w:rsidRDefault="000B6E48" w:rsidP="000B6E48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в рамках реализации мероприятия по обеспечению жильем молодых семей ведомственной целевой программы "Оказание государственной  поддержки гражданам в обеспечении жильем и оплате жилищно-коммунальных услуг" - 4 семьи.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</w:p>
    <w:p w:rsidR="00D0692A" w:rsidRPr="00A57B15" w:rsidRDefault="00D0692A" w:rsidP="00D0692A">
      <w:pPr>
        <w:pStyle w:val="a7"/>
        <w:keepNext/>
        <w:ind w:firstLine="709"/>
        <w:rPr>
          <w:b/>
        </w:rPr>
      </w:pPr>
      <w:r w:rsidRPr="00A57B15">
        <w:rPr>
          <w:b/>
        </w:rPr>
        <w:t xml:space="preserve">Прогноз на 2021-2023 годы. </w:t>
      </w:r>
    </w:p>
    <w:p w:rsidR="000B6E48" w:rsidRPr="00A57B15" w:rsidRDefault="000B6E48" w:rsidP="00D0692A">
      <w:pPr>
        <w:ind w:firstLine="708"/>
        <w:jc w:val="both"/>
        <w:rPr>
          <w:b/>
          <w:i/>
          <w:sz w:val="24"/>
          <w:szCs w:val="24"/>
        </w:rPr>
      </w:pPr>
      <w:r w:rsidRPr="00A57B15">
        <w:rPr>
          <w:sz w:val="24"/>
          <w:szCs w:val="24"/>
        </w:rPr>
        <w:t xml:space="preserve">В </w:t>
      </w:r>
      <w:r w:rsidR="00D0692A" w:rsidRPr="00A57B15">
        <w:rPr>
          <w:sz w:val="24"/>
          <w:szCs w:val="24"/>
        </w:rPr>
        <w:t xml:space="preserve">прогнозируемый </w:t>
      </w:r>
      <w:r w:rsidRPr="00A57B15">
        <w:rPr>
          <w:sz w:val="24"/>
          <w:szCs w:val="24"/>
        </w:rPr>
        <w:t>период</w:t>
      </w:r>
      <w:r w:rsidR="00D0692A" w:rsidRPr="00A57B1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планируется улучшение жилищных условий </w:t>
      </w:r>
      <w:r w:rsidRPr="00A57B15">
        <w:rPr>
          <w:b/>
          <w:sz w:val="24"/>
          <w:szCs w:val="24"/>
        </w:rPr>
        <w:t>138 семей</w:t>
      </w:r>
      <w:r w:rsidRPr="00A57B15">
        <w:rPr>
          <w:sz w:val="24"/>
          <w:szCs w:val="24"/>
        </w:rPr>
        <w:t>:</w:t>
      </w:r>
    </w:p>
    <w:p w:rsidR="000B6E48" w:rsidRPr="00A57B15" w:rsidRDefault="000B6E48" w:rsidP="000B6E48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 </w:t>
      </w:r>
      <w:r w:rsidRPr="00A57B15">
        <w:rPr>
          <w:b/>
          <w:sz w:val="24"/>
          <w:szCs w:val="24"/>
        </w:rPr>
        <w:t>18 семей</w:t>
      </w:r>
      <w:r w:rsidRPr="00A57B15">
        <w:rPr>
          <w:sz w:val="24"/>
          <w:szCs w:val="24"/>
        </w:rPr>
        <w:t>, в том числе: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молодых граждан (молодых семей)» - 9 семей (3 семьи ежегодно);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граждан с использованием средств ипотечного кредита (займа)» - 9 семей (3 семьи ежегодно).</w:t>
      </w:r>
    </w:p>
    <w:p w:rsidR="000B6E48" w:rsidRPr="00A57B15" w:rsidRDefault="000B6E48" w:rsidP="000B6E48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Планируется приступить к реализации муниципальной программы «Жилище на 2021-2025 годы» и улучшить жилищные условия -  </w:t>
      </w:r>
      <w:r w:rsidRPr="00A57B15">
        <w:rPr>
          <w:b/>
          <w:sz w:val="24"/>
          <w:szCs w:val="24"/>
        </w:rPr>
        <w:t>108 семей</w:t>
      </w:r>
      <w:r w:rsidRPr="00A57B15">
        <w:rPr>
          <w:sz w:val="24"/>
          <w:szCs w:val="24"/>
        </w:rPr>
        <w:t>, в том числе: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жилыми помещениями работников бюджетной сферы Сосновоборского городского округа»- 39 семей (13 семей ежегодно);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молодежи» - 3 семьи (1 семья ежегодно);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«Поддержка граждан, нуждающихся в улучшении жилищных условий, на основе принципов ипотечного кредитования» - 6 семей (2 семьи ежегодно);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- 60</w:t>
      </w:r>
      <w:r w:rsidRPr="00A57B15">
        <w:rPr>
          <w:b/>
          <w:sz w:val="24"/>
          <w:szCs w:val="24"/>
        </w:rPr>
        <w:t xml:space="preserve"> </w:t>
      </w:r>
      <w:r w:rsidRPr="00A57B15">
        <w:rPr>
          <w:sz w:val="24"/>
          <w:szCs w:val="24"/>
        </w:rPr>
        <w:t>семьям (20 семей ежегодно).</w:t>
      </w:r>
    </w:p>
    <w:p w:rsidR="000B6E48" w:rsidRPr="00A57B15" w:rsidRDefault="000B6E48" w:rsidP="000B6E48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35FFE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- </w:t>
      </w:r>
      <w:r w:rsidRPr="00A57B15">
        <w:rPr>
          <w:b/>
          <w:sz w:val="24"/>
          <w:szCs w:val="24"/>
        </w:rPr>
        <w:t>9 семей</w:t>
      </w:r>
      <w:r w:rsidRPr="00A57B15">
        <w:rPr>
          <w:sz w:val="24"/>
          <w:szCs w:val="24"/>
        </w:rPr>
        <w:t>, из них: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- 9 семей (3 семьи ежегодно);</w:t>
      </w:r>
    </w:p>
    <w:p w:rsidR="000B6E48" w:rsidRPr="00A57B15" w:rsidRDefault="00672D37" w:rsidP="000B6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рамках исполнения Ф</w:t>
      </w:r>
      <w:r w:rsidR="000B6E48" w:rsidRPr="00A57B15">
        <w:rPr>
          <w:sz w:val="24"/>
          <w:szCs w:val="24"/>
        </w:rPr>
        <w:t>едерального закона от 12.01.1995 № 5-ФЗ «О ветеранах», федерального закона от 24.11.1995 №181-ФЗ «О социальной защите инвалидов в Российской Федерации:</w:t>
      </w:r>
    </w:p>
    <w:p w:rsidR="000B6E48" w:rsidRPr="00A57B15" w:rsidRDefault="000B6E48" w:rsidP="000B6E48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инвалиды, ветераны – </w:t>
      </w:r>
      <w:r w:rsidRPr="00A57B15">
        <w:rPr>
          <w:b/>
          <w:sz w:val="24"/>
          <w:szCs w:val="24"/>
        </w:rPr>
        <w:t>3 семьи</w:t>
      </w:r>
      <w:r w:rsidRPr="00A57B15">
        <w:rPr>
          <w:sz w:val="24"/>
          <w:szCs w:val="24"/>
        </w:rPr>
        <w:t xml:space="preserve"> (1 семья ежегодно).</w:t>
      </w:r>
    </w:p>
    <w:p w:rsidR="000B6E48" w:rsidRPr="00A57B15" w:rsidRDefault="000B6E48" w:rsidP="000B6E48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3"/>
        <w:gridCol w:w="5648"/>
      </w:tblGrid>
      <w:tr w:rsidR="000B6E48" w:rsidRPr="00A57B15" w:rsidTr="003D3DB1">
        <w:tc>
          <w:tcPr>
            <w:tcW w:w="4203" w:type="dxa"/>
          </w:tcPr>
          <w:p w:rsidR="000B6E48" w:rsidRPr="00A57B15" w:rsidRDefault="000B6E48" w:rsidP="003D3DB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648" w:type="dxa"/>
          </w:tcPr>
          <w:p w:rsidR="000B6E48" w:rsidRPr="00A57B15" w:rsidRDefault="000B6E48" w:rsidP="003D3DB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0B6E48" w:rsidRPr="00A57B15" w:rsidTr="003D3DB1">
        <w:trPr>
          <w:trHeight w:val="1690"/>
        </w:trPr>
        <w:tc>
          <w:tcPr>
            <w:tcW w:w="4203" w:type="dxa"/>
          </w:tcPr>
          <w:p w:rsidR="000B6E48" w:rsidRPr="00A57B15" w:rsidRDefault="000B6E48" w:rsidP="003D3DB1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Отсутствие средств в местном бюджете на строительство или приобретение социального жилья. Из года в год увеличивается время ожидания в очереди, на 1 января 2020 года это время составляет 35 лет.</w:t>
            </w:r>
          </w:p>
          <w:p w:rsidR="000B6E48" w:rsidRPr="00A57B15" w:rsidRDefault="000B6E48" w:rsidP="003D3D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:rsidR="000B6E48" w:rsidRPr="00A57B15" w:rsidRDefault="000B6E48" w:rsidP="003D3DB1">
            <w:pPr>
              <w:rPr>
                <w:sz w:val="24"/>
                <w:szCs w:val="24"/>
              </w:rPr>
            </w:pPr>
            <w:r w:rsidRPr="00A57B15">
              <w:rPr>
                <w:snapToGrid w:val="0"/>
                <w:sz w:val="24"/>
                <w:szCs w:val="24"/>
              </w:rPr>
              <w:t>1.</w:t>
            </w:r>
            <w:r w:rsidRPr="00A57B1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>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найма.</w:t>
            </w:r>
          </w:p>
          <w:p w:rsidR="000B6E48" w:rsidRPr="00A57B15" w:rsidRDefault="000B6E48" w:rsidP="003D3D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6E48" w:rsidRPr="00A57B15" w:rsidTr="003D3DB1">
        <w:trPr>
          <w:trHeight w:val="4582"/>
        </w:trPr>
        <w:tc>
          <w:tcPr>
            <w:tcW w:w="4203" w:type="dxa"/>
          </w:tcPr>
          <w:p w:rsidR="000B6E48" w:rsidRPr="00A57B15" w:rsidRDefault="000B6E48" w:rsidP="003D3DB1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2. Недостаточность средств местного бюджета на предоставление финансовой поддержки при улучшении жилищных условий гражданам – участникам муниципальной программы, изъявившим желание получить финансовую поддержку на приобретение (строительство) жилья.     </w:t>
            </w:r>
          </w:p>
          <w:p w:rsidR="000B6E48" w:rsidRPr="00A57B15" w:rsidRDefault="000B6E48" w:rsidP="003D3DB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:rsidR="000B6E48" w:rsidRPr="00A57B15" w:rsidRDefault="000B6E48" w:rsidP="003D3DB1">
            <w:pPr>
              <w:rPr>
                <w:sz w:val="24"/>
                <w:szCs w:val="24"/>
              </w:rPr>
            </w:pPr>
            <w:r w:rsidRPr="00A57B15">
              <w:rPr>
                <w:snapToGrid w:val="0"/>
                <w:sz w:val="24"/>
                <w:szCs w:val="24"/>
              </w:rPr>
              <w:t>2.</w:t>
            </w:r>
            <w:r w:rsidRPr="00A57B1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>Ежегодно предусматривать в местном бюджете:</w:t>
            </w:r>
          </w:p>
          <w:p w:rsidR="000B6E48" w:rsidRPr="00A57B15" w:rsidRDefault="000B6E48" w:rsidP="003D3DB1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средства на предоставление адресных социальных выплат для молодых семей, семей работников бюджетной сферы, семей специалистов организаций, созданных для исполнения полномочий органов местного самоуправления и обеспечения их деятельности, в рамках реализации муниципальной программы; </w:t>
            </w:r>
          </w:p>
          <w:p w:rsidR="000B6E48" w:rsidRPr="00A57B15" w:rsidRDefault="000B6E48" w:rsidP="003D3DB1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средства на приобретение жилых помещений для предоставления на период работы специалистам бюджетной сферы, специалистам организаций, созданных для исполнения полномочий органов местного самоуправления и обеспечения их деятельности; </w:t>
            </w:r>
          </w:p>
          <w:p w:rsidR="000B6E48" w:rsidRPr="00A57B15" w:rsidRDefault="000B6E48" w:rsidP="003D3DB1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средства для софинансирования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размере не менее 25 % от размера социальной выплаты на каждую семью-претендента.</w:t>
            </w:r>
          </w:p>
          <w:p w:rsidR="000B6E48" w:rsidRPr="00A57B15" w:rsidRDefault="000B6E48" w:rsidP="003D3DB1">
            <w:pPr>
              <w:tabs>
                <w:tab w:val="left" w:pos="1786"/>
              </w:tabs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:rsidR="000B6E48" w:rsidRPr="00A57B15" w:rsidRDefault="000B6E48" w:rsidP="000B6E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48" w:rsidRPr="00A57B15" w:rsidRDefault="000B6E48" w:rsidP="000B6E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lastRenderedPageBreak/>
        <w:t>Стратегическая цель и задачи на период до 2024 года</w:t>
      </w:r>
    </w:p>
    <w:p w:rsidR="000B6E48" w:rsidRPr="00A57B15" w:rsidRDefault="000B6E48" w:rsidP="000B6E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48" w:rsidRPr="00A57B15" w:rsidRDefault="000B6E48" w:rsidP="000B6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Из Указа Президента РФ от 07.05.2018 № 204 «О национальных целях и стратегических задачах развития Российской Федерации на период до 2024 года»:</w:t>
      </w:r>
    </w:p>
    <w:tbl>
      <w:tblPr>
        <w:tblpPr w:leftFromText="180" w:rightFromText="180" w:vertAnchor="tex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01"/>
      </w:tblGrid>
      <w:tr w:rsidR="000B6E48" w:rsidRPr="00A57B15" w:rsidTr="003D3DB1">
        <w:tc>
          <w:tcPr>
            <w:tcW w:w="3828" w:type="dxa"/>
            <w:vAlign w:val="center"/>
          </w:tcPr>
          <w:p w:rsidR="000B6E48" w:rsidRPr="00A57B15" w:rsidRDefault="000B6E48" w:rsidP="00292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национального проекта в сфере  жилья </w:t>
            </w:r>
          </w:p>
        </w:tc>
        <w:tc>
          <w:tcPr>
            <w:tcW w:w="5801" w:type="dxa"/>
            <w:vAlign w:val="center"/>
          </w:tcPr>
          <w:p w:rsidR="000B6E48" w:rsidRPr="00A57B15" w:rsidRDefault="000B6E48" w:rsidP="00292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Решение следующих задач:</w:t>
            </w:r>
          </w:p>
        </w:tc>
      </w:tr>
      <w:tr w:rsidR="000B6E48" w:rsidRPr="00A57B15" w:rsidTr="003D3DB1">
        <w:tc>
          <w:tcPr>
            <w:tcW w:w="3828" w:type="dxa"/>
          </w:tcPr>
          <w:p w:rsidR="000B6E48" w:rsidRPr="00A57B15" w:rsidRDefault="000B6E48" w:rsidP="00292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показателей:  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 не менее чем до 120 млн. квадратных метров в год;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  <w:p w:rsidR="000B6E48" w:rsidRPr="00A57B15" w:rsidRDefault="000B6E48" w:rsidP="00292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      </w:r>
            <w:proofErr w:type="gramStart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0B6E48" w:rsidRPr="00A57B15" w:rsidRDefault="000B6E48" w:rsidP="0029239F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  <w:p w:rsidR="000B6E48" w:rsidRPr="00A57B15" w:rsidRDefault="000B6E48" w:rsidP="00292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AF0" w:rsidRPr="00A57B15" w:rsidRDefault="009C4AF0" w:rsidP="00D01EAE">
      <w:pPr>
        <w:jc w:val="both"/>
        <w:rPr>
          <w:snapToGrid w:val="0"/>
          <w:sz w:val="24"/>
          <w:szCs w:val="24"/>
        </w:rPr>
      </w:pPr>
    </w:p>
    <w:p w:rsidR="00D01EAE" w:rsidRPr="00A57B15" w:rsidRDefault="00D01EAE" w:rsidP="00D01EAE">
      <w:pPr>
        <w:jc w:val="both"/>
        <w:rPr>
          <w:snapToGrid w:val="0"/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34" w:name="_Toc52186981"/>
      <w:r w:rsidRPr="00A57B15">
        <w:rPr>
          <w:color w:val="auto"/>
        </w:rPr>
        <w:t>5.</w:t>
      </w:r>
      <w:r w:rsidR="00B41C60">
        <w:rPr>
          <w:color w:val="auto"/>
        </w:rPr>
        <w:t>4</w:t>
      </w:r>
      <w:r w:rsidRPr="00A57B15">
        <w:rPr>
          <w:color w:val="auto"/>
        </w:rPr>
        <w:t>. Транспорт</w:t>
      </w:r>
      <w:bookmarkEnd w:id="34"/>
    </w:p>
    <w:p w:rsidR="009C4AF0" w:rsidRPr="00A57B15" w:rsidRDefault="009C4AF0" w:rsidP="009C4AF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D3DB1" w:rsidRPr="00A57B15" w:rsidRDefault="003D3DB1" w:rsidP="003D3DB1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D3DB1" w:rsidRPr="00A57B15" w:rsidRDefault="003D3DB1" w:rsidP="003D3DB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</w:t>
      </w:r>
      <w:r w:rsidR="0081196F">
        <w:rPr>
          <w:sz w:val="24"/>
          <w:szCs w:val="24"/>
        </w:rPr>
        <w:t>62,7 </w:t>
      </w:r>
      <w:r w:rsidRPr="00A57B15">
        <w:rPr>
          <w:sz w:val="24"/>
          <w:szCs w:val="24"/>
        </w:rPr>
        <w:t>км, все дороги с асфальтовым покрытием.</w:t>
      </w:r>
    </w:p>
    <w:p w:rsidR="003D3DB1" w:rsidRPr="00A57B15" w:rsidRDefault="003D3DB1" w:rsidP="003D3DB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rStyle w:val="11"/>
          <w:szCs w:val="24"/>
        </w:rPr>
        <w:t>Работы и услуги по</w:t>
      </w:r>
      <w:r w:rsidRPr="00A57B15">
        <w:rPr>
          <w:sz w:val="24"/>
          <w:szCs w:val="24"/>
        </w:rPr>
        <w:t xml:space="preserve"> организации перевозок грузов</w:t>
      </w:r>
      <w:r w:rsidRPr="00A57B15">
        <w:rPr>
          <w:rStyle w:val="11"/>
          <w:szCs w:val="24"/>
        </w:rPr>
        <w:t xml:space="preserve"> выполняют в городе три организации, относящиеся к категории «крупные и средние», а также малые предприятия и предприниматели.</w:t>
      </w:r>
    </w:p>
    <w:p w:rsidR="003D3DB1" w:rsidRPr="00A57B15" w:rsidRDefault="003D3DB1" w:rsidP="00AC3ED5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С</w:t>
      </w:r>
      <w:r w:rsidRPr="00A57B15">
        <w:rPr>
          <w:sz w:val="24"/>
          <w:szCs w:val="24"/>
        </w:rPr>
        <w:t>еть транспортного обслуживания населения</w:t>
      </w:r>
      <w:r w:rsidR="00AC3ED5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города составляют: ООО «Ленинградская АЭС-Авто», относящееся к категории «крупные и средние», ООО «Вест-Сервис», малые предприятия, индивидуальные предприниматели, действуют маршрутные службы такси.</w:t>
      </w:r>
    </w:p>
    <w:p w:rsidR="003D3DB1" w:rsidRPr="00A57B15" w:rsidRDefault="003D3DB1" w:rsidP="003D3DB1">
      <w:pPr>
        <w:pStyle w:val="21"/>
        <w:spacing w:after="0" w:line="240" w:lineRule="auto"/>
        <w:ind w:left="0" w:firstLine="709"/>
        <w:jc w:val="both"/>
        <w:rPr>
          <w:rStyle w:val="11"/>
          <w:szCs w:val="24"/>
        </w:rPr>
      </w:pPr>
      <w:r w:rsidRPr="00A57B15">
        <w:rPr>
          <w:rStyle w:val="11"/>
          <w:szCs w:val="24"/>
        </w:rPr>
        <w:lastRenderedPageBreak/>
        <w:t>Планируется проведение аукциона в электронной форме по определению исполнителя по пассажирским перевозкам на муниципальных маршрутах по регулируемым тарифам на период с 1 января 2021г. по 31 декабря 2023 г.</w:t>
      </w:r>
    </w:p>
    <w:p w:rsidR="007D5603" w:rsidRDefault="007D5603" w:rsidP="003D3DB1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D3DB1" w:rsidRPr="00A57B15" w:rsidRDefault="003D3DB1" w:rsidP="003D3DB1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D3DB1" w:rsidRPr="00A57B15" w:rsidRDefault="003D3DB1" w:rsidP="003D3DB1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в 2021 - 2023 годах составит </w:t>
      </w:r>
      <w:r w:rsidR="007339C4">
        <w:rPr>
          <w:sz w:val="24"/>
          <w:szCs w:val="24"/>
        </w:rPr>
        <w:t xml:space="preserve">64,8 км </w:t>
      </w:r>
      <w:r w:rsidRPr="00A57B15">
        <w:rPr>
          <w:sz w:val="24"/>
          <w:szCs w:val="24"/>
        </w:rPr>
        <w:t xml:space="preserve">соответственно, все дороги в муниципальном образовании с твёрдым (асфальтовым) покрытием. </w:t>
      </w:r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9C4AF0">
      <w:pPr>
        <w:keepNext/>
        <w:rPr>
          <w:sz w:val="24"/>
          <w:szCs w:val="24"/>
        </w:rPr>
      </w:pPr>
    </w:p>
    <w:p w:rsidR="00A051D6" w:rsidRPr="00A57B15" w:rsidRDefault="00B41C60" w:rsidP="00B43A07">
      <w:pPr>
        <w:pStyle w:val="2"/>
        <w:rPr>
          <w:color w:val="auto"/>
        </w:rPr>
      </w:pPr>
      <w:bookmarkStart w:id="35" w:name="_Toc51163581"/>
      <w:bookmarkStart w:id="36" w:name="_Toc52186982"/>
      <w:r>
        <w:rPr>
          <w:color w:val="auto"/>
        </w:rPr>
        <w:t>5.5</w:t>
      </w:r>
      <w:r w:rsidR="00A051D6" w:rsidRPr="00A57B15">
        <w:rPr>
          <w:color w:val="auto"/>
        </w:rPr>
        <w:t>. Потребительский рынок товаров и услуг</w:t>
      </w:r>
      <w:bookmarkEnd w:id="35"/>
      <w:bookmarkEnd w:id="36"/>
    </w:p>
    <w:p w:rsidR="00A051D6" w:rsidRPr="00A57B15" w:rsidRDefault="00A051D6" w:rsidP="00A051D6">
      <w:pPr>
        <w:keepNext/>
        <w:rPr>
          <w:sz w:val="24"/>
          <w:szCs w:val="24"/>
        </w:rPr>
      </w:pPr>
    </w:p>
    <w:p w:rsidR="00A051D6" w:rsidRPr="00A57B15" w:rsidRDefault="00A051D6" w:rsidP="00A051D6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A051D6" w:rsidRPr="00A57B15" w:rsidRDefault="00A051D6" w:rsidP="00A051D6">
      <w:pPr>
        <w:pStyle w:val="211"/>
        <w:widowControl w:val="0"/>
        <w:ind w:firstLine="708"/>
        <w:rPr>
          <w:bCs/>
          <w:szCs w:val="24"/>
        </w:rPr>
      </w:pPr>
      <w:r w:rsidRPr="00A57B15">
        <w:rPr>
          <w:szCs w:val="24"/>
        </w:rPr>
        <w:t>Прогноз оборота розничной торговли в 2020 году (по крупным и средним пред</w:t>
      </w:r>
      <w:r w:rsidR="00BE1722" w:rsidRPr="00A57B15">
        <w:rPr>
          <w:szCs w:val="24"/>
        </w:rPr>
        <w:t>приятиям) ожидается в объеме 11</w:t>
      </w:r>
      <w:r w:rsidRPr="00A57B15">
        <w:rPr>
          <w:szCs w:val="24"/>
        </w:rPr>
        <w:t>050,0 млн. рублей или 130,8% к уров</w:t>
      </w:r>
      <w:r w:rsidR="009143D2" w:rsidRPr="00A57B15">
        <w:rPr>
          <w:szCs w:val="24"/>
        </w:rPr>
        <w:t>ню 2019 года</w:t>
      </w:r>
      <w:r w:rsidRPr="00A57B15">
        <w:rPr>
          <w:szCs w:val="24"/>
        </w:rPr>
        <w:t xml:space="preserve">. </w:t>
      </w:r>
      <w:r w:rsidRPr="00A57B15">
        <w:rPr>
          <w:bCs/>
          <w:szCs w:val="24"/>
        </w:rPr>
        <w:t>Помимо роста основных показателей развитию отрасли будут способствовать совершенствование конкуренции, увеличение торговых площадей современных форматов, резервирование земельных участков для размещения нестационарных объектов торговли.</w:t>
      </w:r>
    </w:p>
    <w:p w:rsidR="00A051D6" w:rsidRPr="00A57B15" w:rsidRDefault="00A051D6" w:rsidP="00A051D6">
      <w:pPr>
        <w:pStyle w:val="ad"/>
        <w:spacing w:before="0" w:beforeAutospacing="0" w:after="0" w:afterAutospacing="0"/>
        <w:ind w:firstLine="708"/>
        <w:jc w:val="both"/>
        <w:textAlignment w:val="top"/>
      </w:pPr>
      <w:r w:rsidRPr="00A57B15">
        <w:rPr>
          <w:bCs/>
        </w:rPr>
        <w:t xml:space="preserve">Оборот общественного питания прогнозируется в объеме </w:t>
      </w:r>
      <w:r w:rsidR="009143D2" w:rsidRPr="00A57B15">
        <w:rPr>
          <w:bCs/>
        </w:rPr>
        <w:t xml:space="preserve">465,0 млн. рублей или </w:t>
      </w:r>
      <w:r w:rsidRPr="00A57B15">
        <w:rPr>
          <w:bCs/>
        </w:rPr>
        <w:t xml:space="preserve">94,3% к уровню предыдущего года, что связано со </w:t>
      </w:r>
      <w:r w:rsidRPr="00A57B15">
        <w:t>сложн</w:t>
      </w:r>
      <w:r w:rsidR="009143D2" w:rsidRPr="00A57B15">
        <w:t>ой эпидемиологической обстановкой</w:t>
      </w:r>
      <w:r w:rsidRPr="00A57B15">
        <w:t xml:space="preserve"> в апреле–июне текущего года, когда пре</w:t>
      </w:r>
      <w:r w:rsidR="009143D2" w:rsidRPr="00A57B15">
        <w:t xml:space="preserve">дприятия общественного питания </w:t>
      </w:r>
      <w:r w:rsidRPr="00A57B15">
        <w:t>не работали. Дальнейшее развитие данной сферы связано с успешным развитием предпринимательства, открытием предприятий системы быстрого питания, тематических кафе, открытием объектов питания в торговых центрах и комплексах.</w:t>
      </w:r>
    </w:p>
    <w:p w:rsidR="00A051D6" w:rsidRPr="00A57B15" w:rsidRDefault="009143D2" w:rsidP="009143D2">
      <w:pPr>
        <w:pStyle w:val="a7"/>
        <w:ind w:firstLine="708"/>
        <w:rPr>
          <w:spacing w:val="1"/>
          <w:szCs w:val="24"/>
          <w:shd w:val="clear" w:color="auto" w:fill="FFFFFF"/>
        </w:rPr>
      </w:pPr>
      <w:r w:rsidRPr="00A57B15">
        <w:rPr>
          <w:bCs/>
          <w:szCs w:val="24"/>
        </w:rPr>
        <w:t>Объем платных услуг насе</w:t>
      </w:r>
      <w:r w:rsidR="0043310A" w:rsidRPr="00A57B15">
        <w:rPr>
          <w:bCs/>
          <w:szCs w:val="24"/>
        </w:rPr>
        <w:t>лению прогнозируется в объеме 1</w:t>
      </w:r>
      <w:r w:rsidR="00A051D6" w:rsidRPr="00A57B15">
        <w:rPr>
          <w:bCs/>
          <w:szCs w:val="24"/>
        </w:rPr>
        <w:t xml:space="preserve">583,8 млн. рублей или 90,4% к уровню 2019 года. </w:t>
      </w:r>
      <w:r w:rsidR="00A051D6" w:rsidRPr="00A57B15">
        <w:t xml:space="preserve">В прогнозируемом периоде ожидается плавный рост объема платных услуг, оказываемых населению, и в </w:t>
      </w:r>
      <w:r w:rsidR="0043310A" w:rsidRPr="00A57B15">
        <w:t>2023 году он достигнет уровня 1</w:t>
      </w:r>
      <w:r w:rsidR="00A051D6" w:rsidRPr="00A57B15">
        <w:t xml:space="preserve">877,5 млн. рублей. </w:t>
      </w:r>
      <w:r w:rsidR="00A051D6" w:rsidRPr="00A57B15">
        <w:rPr>
          <w:bCs/>
          <w:szCs w:val="24"/>
        </w:rPr>
        <w:t>Помимо роста основных показателей</w:t>
      </w:r>
      <w:r w:rsidR="00A051D6" w:rsidRPr="00A57B15">
        <w:rPr>
          <w:spacing w:val="1"/>
          <w:szCs w:val="24"/>
          <w:shd w:val="clear" w:color="auto" w:fill="FFFFFF"/>
        </w:rPr>
        <w:t xml:space="preserve"> позитивные процессы сферы услуг будут осуществляться за счет формирования спектра перспективных услуг, ввода в действие предприятий и организаций по оказанию услуг, отвечающих необходимым требованиям и условиям законодательства и запросам населения, частного инвестирования.</w:t>
      </w:r>
    </w:p>
    <w:p w:rsidR="009143D2" w:rsidRPr="00A57B15" w:rsidRDefault="009143D2" w:rsidP="009143D2">
      <w:pPr>
        <w:pStyle w:val="a7"/>
        <w:ind w:firstLine="708"/>
        <w:rPr>
          <w:bCs/>
          <w:szCs w:val="24"/>
        </w:rPr>
      </w:pPr>
    </w:p>
    <w:p w:rsidR="00A051D6" w:rsidRPr="00A57B15" w:rsidRDefault="00A051D6" w:rsidP="00A051D6">
      <w:pPr>
        <w:pStyle w:val="21"/>
        <w:keepNext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A051D6" w:rsidRPr="00A57B15" w:rsidRDefault="00A051D6" w:rsidP="00A051D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При расчете прогноза разв</w:t>
      </w:r>
      <w:r w:rsidR="009143D2" w:rsidRPr="00A57B15">
        <w:rPr>
          <w:sz w:val="24"/>
          <w:szCs w:val="24"/>
        </w:rPr>
        <w:t xml:space="preserve">ития потребительского рынка на </w:t>
      </w:r>
      <w:r w:rsidRPr="00A57B15">
        <w:rPr>
          <w:sz w:val="24"/>
          <w:szCs w:val="24"/>
        </w:rPr>
        <w:t>плановый период 2021-2023 годы учитывались следующие тенденции:</w:t>
      </w:r>
    </w:p>
    <w:p w:rsidR="00A051D6" w:rsidRPr="00A57B15" w:rsidRDefault="00A051D6" w:rsidP="00A051D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расширение торговой сети, в том числе за счет открытия магазинов шаговой доступности, открытие предприятий торговли и общественного питан</w:t>
      </w:r>
      <w:r w:rsidR="009143D2" w:rsidRPr="00A57B15">
        <w:rPr>
          <w:sz w:val="24"/>
          <w:szCs w:val="24"/>
        </w:rPr>
        <w:t xml:space="preserve">ия в цокольных и первых этажах </w:t>
      </w:r>
      <w:r w:rsidRPr="00A57B15">
        <w:rPr>
          <w:sz w:val="24"/>
          <w:szCs w:val="24"/>
        </w:rPr>
        <w:t>новостроек;</w:t>
      </w:r>
    </w:p>
    <w:p w:rsidR="00A051D6" w:rsidRPr="00A57B15" w:rsidRDefault="00A051D6" w:rsidP="00A051D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размещение нестационарных торговых объектов в соответствии со Схемой размещения;</w:t>
      </w:r>
    </w:p>
    <w:p w:rsidR="00A051D6" w:rsidRPr="00A57B15" w:rsidRDefault="00A051D6" w:rsidP="00A051D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развитие рынка платных услуг за счет роста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</w:p>
    <w:p w:rsidR="00A051D6" w:rsidRPr="00A57B15" w:rsidRDefault="00A051D6" w:rsidP="00A051D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Приоритетным направлением в работе предприятий потребительского рынка по-прежнему остается </w:t>
      </w:r>
      <w:r w:rsidRPr="00A57B15">
        <w:rPr>
          <w:sz w:val="24"/>
        </w:rPr>
        <w:t xml:space="preserve">своевременное удовлетворение спроса населения на потребительские товары и услуги, </w:t>
      </w:r>
      <w:r w:rsidRPr="00A57B15">
        <w:rPr>
          <w:sz w:val="24"/>
          <w:szCs w:val="24"/>
        </w:rPr>
        <w:t>повышение качества обслуживания, формирование современной инфраструктуры розничной торговли, общественного питания и бытового обслуживания населения, создание новых рабочих мест.</w:t>
      </w:r>
    </w:p>
    <w:p w:rsidR="00A051D6" w:rsidRPr="00A57B15" w:rsidRDefault="00A051D6" w:rsidP="00A051D6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t xml:space="preserve">Оборот розничной торговли прогнозируется в объеме </w:t>
      </w:r>
      <w:r w:rsidRPr="00A57B15">
        <w:rPr>
          <w:szCs w:val="24"/>
        </w:rPr>
        <w:t>(в действующих ценах):  2021 год – 12707,0 млн</w:t>
      </w:r>
      <w:proofErr w:type="gramStart"/>
      <w:r w:rsidRPr="00A57B15">
        <w:rPr>
          <w:szCs w:val="24"/>
        </w:rPr>
        <w:t>.р</w:t>
      </w:r>
      <w:proofErr w:type="gramEnd"/>
      <w:r w:rsidRPr="00A57B15">
        <w:rPr>
          <w:szCs w:val="24"/>
        </w:rPr>
        <w:t>ублей или 115% к предыдущему году; 2022 год – 15250,0 млн.рублей  или 120 % к предыдущему году; 2023 год – 19060,0 млн.рублей или 125 % к предыдущему году.</w:t>
      </w:r>
    </w:p>
    <w:p w:rsidR="00A051D6" w:rsidRPr="00A57B15" w:rsidRDefault="00A051D6" w:rsidP="00A051D6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lastRenderedPageBreak/>
        <w:t>Оборот общественного питания прогнозируется в объеме</w:t>
      </w:r>
      <w:r w:rsidRPr="00A57B15">
        <w:rPr>
          <w:szCs w:val="24"/>
        </w:rPr>
        <w:t xml:space="preserve"> (в действующих ценах): 2021 год – 530,0 млн. рублей или  114 % к уровню предыдущего года;  2022 год – 636,0 млн. рублей или 120 % к уровню</w:t>
      </w:r>
      <w:r w:rsidR="0043310A" w:rsidRPr="00A57B15">
        <w:rPr>
          <w:szCs w:val="24"/>
        </w:rPr>
        <w:t xml:space="preserve"> предыдущего года;  2023 год – </w:t>
      </w:r>
      <w:r w:rsidRPr="00A57B15">
        <w:rPr>
          <w:szCs w:val="24"/>
        </w:rPr>
        <w:t>795,0 млн. рублей или 125% к уровню предыдущего года.</w:t>
      </w:r>
    </w:p>
    <w:p w:rsidR="00A051D6" w:rsidRPr="00A57B15" w:rsidRDefault="00A051D6" w:rsidP="00A051D6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t>Объем платных услуг населению</w:t>
      </w:r>
      <w:r w:rsidRPr="00A57B15">
        <w:rPr>
          <w:szCs w:val="24"/>
        </w:rPr>
        <w:t xml:space="preserve"> </w:t>
      </w:r>
      <w:r w:rsidRPr="00A57B15">
        <w:rPr>
          <w:b/>
          <w:szCs w:val="24"/>
        </w:rPr>
        <w:t>по прогнозу составит</w:t>
      </w:r>
      <w:r w:rsidRPr="00A57B15">
        <w:rPr>
          <w:szCs w:val="24"/>
        </w:rPr>
        <w:t xml:space="preserve"> (в дей</w:t>
      </w:r>
      <w:r w:rsidR="0043310A" w:rsidRPr="00A57B15">
        <w:rPr>
          <w:szCs w:val="24"/>
        </w:rPr>
        <w:t>ствующих ценах):   2021 год – 1</w:t>
      </w:r>
      <w:r w:rsidRPr="00A57B15">
        <w:rPr>
          <w:szCs w:val="24"/>
        </w:rPr>
        <w:t>663,0 млн. рублей или 105% к уровню предыдущего года;  2022 год – 1763,0 млн. рублей или 106% к уровню предыдущего года; 2023 год – 1877,5 млн. рублей или 106,5 % к уровню предыдущего года.</w:t>
      </w:r>
    </w:p>
    <w:p w:rsidR="00A051D6" w:rsidRPr="00A57B15" w:rsidRDefault="00A051D6" w:rsidP="00A051D6">
      <w:pPr>
        <w:pStyle w:val="a7"/>
        <w:ind w:firstLine="708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5005"/>
      </w:tblGrid>
      <w:tr w:rsidR="00A051D6" w:rsidRPr="00A57B15" w:rsidTr="00D0692A">
        <w:tc>
          <w:tcPr>
            <w:tcW w:w="4820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jc w:val="center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Основные проблемы отрасли</w:t>
            </w:r>
          </w:p>
        </w:tc>
        <w:tc>
          <w:tcPr>
            <w:tcW w:w="5103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jc w:val="center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Предполагаемые пути решения</w:t>
            </w:r>
          </w:p>
        </w:tc>
      </w:tr>
      <w:tr w:rsidR="00A051D6" w:rsidRPr="00A57B15" w:rsidTr="00D0692A">
        <w:tc>
          <w:tcPr>
            <w:tcW w:w="4820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>Ка</w:t>
            </w:r>
            <w:r w:rsidR="00EE5C87">
              <w:rPr>
                <w:szCs w:val="24"/>
              </w:rPr>
              <w:t>дровый дефицит квалифицированных</w:t>
            </w:r>
            <w:r w:rsidRPr="00A57B15">
              <w:rPr>
                <w:szCs w:val="24"/>
              </w:rPr>
              <w:t xml:space="preserve"> кадров массовых профессий, таких как продавец продовольственных товаров, продавец непродовольственных товаров, контролер-кассир, повар, кондитер, официант, закройщик и другие. </w:t>
            </w:r>
          </w:p>
          <w:p w:rsidR="00A051D6" w:rsidRPr="00A57B15" w:rsidRDefault="00A051D6" w:rsidP="00D0692A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Отсутствие системы подготовки квалифицированных кадров для предприятий службы быта.</w:t>
            </w:r>
            <w:proofErr w:type="gramEnd"/>
          </w:p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</w:p>
        </w:tc>
        <w:tc>
          <w:tcPr>
            <w:tcW w:w="5103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 w:val="22"/>
                <w:szCs w:val="22"/>
              </w:rPr>
            </w:pPr>
            <w:r w:rsidRPr="00A57B15">
              <w:rPr>
                <w:szCs w:val="24"/>
              </w:rPr>
              <w:t xml:space="preserve">     Организация обучения (переобучения) востребованным профессиям на базе учреждений среднего профессионального образования Ленинградской области, проведение работы по профессиональной ориентации старшеклассников с учетом потребностей рынка труда.</w:t>
            </w:r>
            <w:r w:rsidRPr="00A57B15">
              <w:rPr>
                <w:sz w:val="22"/>
                <w:szCs w:val="22"/>
              </w:rPr>
              <w:t xml:space="preserve"> </w:t>
            </w:r>
          </w:p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     Развитие кадрового потенциала организаций потребительского рынка и сферы услуг.</w:t>
            </w:r>
          </w:p>
        </w:tc>
      </w:tr>
      <w:tr w:rsidR="00A051D6" w:rsidRPr="00A57B15" w:rsidTr="00D0692A">
        <w:tc>
          <w:tcPr>
            <w:tcW w:w="4820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Ограниченная возможность получения производственных площадей, высокие затраты на содержание  помещений. </w:t>
            </w:r>
          </w:p>
        </w:tc>
        <w:tc>
          <w:tcPr>
            <w:tcW w:w="5103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    Муниципальная поддержка предприятиям, оказывающим социально-значимые услуги (услуги ремонтно-восстановительного характера – ремонт одежды, обуви, мебели, бытовой техники), путем снижения или освобождения от платы за аренду помещений,  земли.      </w:t>
            </w:r>
          </w:p>
        </w:tc>
      </w:tr>
      <w:tr w:rsidR="00A051D6" w:rsidRPr="00A57B15" w:rsidTr="00D0692A">
        <w:tc>
          <w:tcPr>
            <w:tcW w:w="4820" w:type="dxa"/>
          </w:tcPr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8"/>
              </w:rPr>
            </w:pPr>
            <w:r w:rsidRPr="00A57B15">
              <w:rPr>
                <w:szCs w:val="28"/>
              </w:rPr>
              <w:t xml:space="preserve">   Отсутствие полномочий у органов местного самоуправления при реализации Закона о торговле по ведению торгового реестра и добровольный порядок представления сведений хозяйствующими субъектами в торговый реестр. </w:t>
            </w:r>
          </w:p>
          <w:p w:rsidR="00A051D6" w:rsidRPr="00A57B15" w:rsidRDefault="00A051D6" w:rsidP="00D0692A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t xml:space="preserve">   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рынка.</w:t>
            </w:r>
          </w:p>
        </w:tc>
        <w:tc>
          <w:tcPr>
            <w:tcW w:w="5103" w:type="dxa"/>
          </w:tcPr>
          <w:p w:rsidR="00A051D6" w:rsidRPr="00A57B15" w:rsidRDefault="00A051D6" w:rsidP="00D0692A">
            <w:pPr>
              <w:jc w:val="both"/>
              <w:rPr>
                <w:szCs w:val="24"/>
              </w:rPr>
            </w:pPr>
            <w:r w:rsidRPr="00A57B15">
              <w:rPr>
                <w:sz w:val="24"/>
                <w:szCs w:val="28"/>
              </w:rPr>
              <w:t xml:space="preserve">   В целях эффективной реализации Закона о торговле необходимо внести изменения, закрепляющие полномочия по ведению торгового реестра на территории каждого муниципального образования за соответствующими органами местного самоуправления и обязательный порядок представления сведений хозяйствующими субъектами в муниципальные торговые реестры.</w:t>
            </w:r>
          </w:p>
        </w:tc>
      </w:tr>
    </w:tbl>
    <w:p w:rsidR="00A051D6" w:rsidRPr="00A57B15" w:rsidRDefault="00A051D6" w:rsidP="00A051D6">
      <w:pPr>
        <w:jc w:val="both"/>
        <w:rPr>
          <w:snapToGrid w:val="0"/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B41C60" w:rsidP="000F3741">
      <w:pPr>
        <w:pStyle w:val="2"/>
        <w:rPr>
          <w:snapToGrid w:val="0"/>
          <w:color w:val="auto"/>
        </w:rPr>
      </w:pPr>
      <w:bookmarkStart w:id="37" w:name="_Toc52186983"/>
      <w:r>
        <w:rPr>
          <w:snapToGrid w:val="0"/>
          <w:color w:val="auto"/>
        </w:rPr>
        <w:t>5.6</w:t>
      </w:r>
      <w:r w:rsidR="000F3741" w:rsidRPr="00A57B15">
        <w:rPr>
          <w:snapToGrid w:val="0"/>
          <w:color w:val="auto"/>
        </w:rPr>
        <w:t xml:space="preserve">. </w:t>
      </w:r>
      <w:r w:rsidR="006833FB" w:rsidRPr="00A57B15">
        <w:rPr>
          <w:snapToGrid w:val="0"/>
          <w:color w:val="auto"/>
        </w:rPr>
        <w:t>Мал</w:t>
      </w:r>
      <w:r w:rsidR="00C80EA4" w:rsidRPr="00A57B15">
        <w:rPr>
          <w:snapToGrid w:val="0"/>
          <w:color w:val="auto"/>
        </w:rPr>
        <w:t>ое и среднее предпринимательство</w:t>
      </w:r>
      <w:bookmarkEnd w:id="37"/>
    </w:p>
    <w:p w:rsidR="000F3741" w:rsidRPr="00A57B15" w:rsidRDefault="000F3741" w:rsidP="006833FB">
      <w:pPr>
        <w:pStyle w:val="aff3"/>
        <w:jc w:val="both"/>
        <w:rPr>
          <w:b/>
          <w:snapToGrid w:val="0"/>
        </w:rPr>
      </w:pPr>
    </w:p>
    <w:p w:rsidR="006833FB" w:rsidRPr="00A57B15" w:rsidRDefault="006833FB" w:rsidP="006833FB">
      <w:pPr>
        <w:pStyle w:val="aff3"/>
        <w:jc w:val="both"/>
        <w:rPr>
          <w:b/>
          <w:snapToGrid w:val="0"/>
        </w:rPr>
      </w:pPr>
      <w:r w:rsidRPr="00A57B15">
        <w:rPr>
          <w:b/>
          <w:snapToGrid w:val="0"/>
        </w:rPr>
        <w:t>Ожидаемые итоги 2020 года.</w:t>
      </w:r>
    </w:p>
    <w:p w:rsidR="006833FB" w:rsidRPr="00A57B15" w:rsidRDefault="006833FB" w:rsidP="00AC69D0">
      <w:pPr>
        <w:pStyle w:val="aff3"/>
        <w:ind w:left="0" w:firstLine="709"/>
        <w:jc w:val="both"/>
        <w:rPr>
          <w:snapToGrid w:val="0"/>
        </w:rPr>
      </w:pPr>
      <w:proofErr w:type="gramStart"/>
      <w:r w:rsidRPr="00A57B15">
        <w:rPr>
          <w:snapToGrid w:val="0"/>
        </w:rPr>
        <w:t>На конец</w:t>
      </w:r>
      <w:proofErr w:type="gramEnd"/>
      <w:r w:rsidRPr="00A57B15">
        <w:rPr>
          <w:snapToGrid w:val="0"/>
        </w:rPr>
        <w:t xml:space="preserve"> 2020 года ожидается сохранение количества малых и средних предприятий, включая микропредприятия, на уровне 2019 года, что составит </w:t>
      </w:r>
      <w:r w:rsidR="000562C3" w:rsidRPr="00A57B15">
        <w:rPr>
          <w:snapToGrid w:val="0"/>
        </w:rPr>
        <w:t>не менее</w:t>
      </w:r>
      <w:r w:rsidRPr="00A57B15">
        <w:rPr>
          <w:snapToGrid w:val="0"/>
        </w:rPr>
        <w:t xml:space="preserve"> 715 единиц.</w:t>
      </w:r>
    </w:p>
    <w:p w:rsidR="006833FB" w:rsidRPr="00A57B15" w:rsidRDefault="006833FB" w:rsidP="00AC69D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 xml:space="preserve">Среднесписочная численность работников на предприятиях малого </w:t>
      </w:r>
      <w:r w:rsidR="000562C3" w:rsidRPr="00A57B15">
        <w:rPr>
          <w:snapToGrid w:val="0"/>
        </w:rPr>
        <w:t>и среднего предпринимательства, включая микропредприятия,</w:t>
      </w:r>
      <w:r w:rsidR="00AC69D0" w:rsidRPr="00A57B15">
        <w:rPr>
          <w:snapToGrid w:val="0"/>
        </w:rPr>
        <w:t xml:space="preserve"> снизится незначительно и составит 99,1 % (порядка 2300 человек) от уровня аналогичного показателя 2019 года.</w:t>
      </w:r>
    </w:p>
    <w:p w:rsidR="00AC69D0" w:rsidRPr="00A57B15" w:rsidRDefault="00AC69D0" w:rsidP="00AC69D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Оборот</w:t>
      </w:r>
      <w:r w:rsidR="000562C3" w:rsidRPr="00A57B15">
        <w:rPr>
          <w:snapToGrid w:val="0"/>
        </w:rPr>
        <w:t>ы</w:t>
      </w:r>
      <w:r w:rsidRPr="00A57B15">
        <w:rPr>
          <w:snapToGrid w:val="0"/>
        </w:rPr>
        <w:t xml:space="preserve"> малых и средних предприятий, включая микропредприятия, к концу 2020 года </w:t>
      </w:r>
      <w:r w:rsidR="000562C3" w:rsidRPr="00A57B15">
        <w:rPr>
          <w:snapToGrid w:val="0"/>
        </w:rPr>
        <w:t>увеличатся не менее чем на 3 % и составят свыше 9711,1 млн. рублей.</w:t>
      </w:r>
    </w:p>
    <w:p w:rsidR="003472B9" w:rsidRPr="00A57B15" w:rsidRDefault="003472B9" w:rsidP="000562C3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</w:p>
    <w:p w:rsidR="006833FB" w:rsidRPr="00A57B15" w:rsidRDefault="006833FB" w:rsidP="000562C3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6833FB" w:rsidRPr="00A57B15" w:rsidRDefault="000562C3" w:rsidP="000562C3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К концу 2023 года ожидается увеличение количества малых и средних предприятий, включая микропредприятия, до 729 единиц, что составит 102 % к уровню 2019 года.</w:t>
      </w:r>
    </w:p>
    <w:p w:rsidR="006833FB" w:rsidRPr="00A57B15" w:rsidRDefault="000562C3" w:rsidP="000562C3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 xml:space="preserve">Среднесписочная численность работников на предприятиях малого и среднего предпринимательства, включая микропредприятия, увеличится на 3,1 % к уровню 2019 года и составит </w:t>
      </w:r>
      <w:r w:rsidR="00510125" w:rsidRPr="00A57B15">
        <w:rPr>
          <w:snapToGrid w:val="0"/>
        </w:rPr>
        <w:t xml:space="preserve">порядка </w:t>
      </w:r>
      <w:r w:rsidRPr="00A57B15">
        <w:rPr>
          <w:snapToGrid w:val="0"/>
        </w:rPr>
        <w:t>2393 человек.</w:t>
      </w:r>
    </w:p>
    <w:p w:rsidR="000562C3" w:rsidRPr="00A57B15" w:rsidRDefault="000562C3" w:rsidP="000562C3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Обороты на данных предприятиях составят не менее 10611,6 млн. рублей, что выше уровня 2019 года на 12,6 %.</w:t>
      </w:r>
    </w:p>
    <w:p w:rsidR="000562C3" w:rsidRPr="00A57B15" w:rsidRDefault="000562C3" w:rsidP="00055331">
      <w:pPr>
        <w:pStyle w:val="3"/>
        <w:rPr>
          <w:sz w:val="24"/>
          <w:szCs w:val="24"/>
        </w:rPr>
      </w:pPr>
      <w:bookmarkStart w:id="38" w:name="_Toc299458158"/>
    </w:p>
    <w:p w:rsidR="003472B9" w:rsidRPr="00A57B15" w:rsidRDefault="003472B9" w:rsidP="003472B9"/>
    <w:p w:rsidR="009C4AF0" w:rsidRPr="00A57B15" w:rsidRDefault="009C4AF0" w:rsidP="00055331">
      <w:pPr>
        <w:pStyle w:val="3"/>
      </w:pPr>
      <w:bookmarkStart w:id="39" w:name="_Toc52186984"/>
      <w:r w:rsidRPr="00A57B15">
        <w:t>6. Развитие социальной сферы</w:t>
      </w:r>
      <w:bookmarkStart w:id="40" w:name="_GoBack"/>
      <w:bookmarkEnd w:id="38"/>
      <w:bookmarkEnd w:id="39"/>
      <w:bookmarkEnd w:id="40"/>
    </w:p>
    <w:p w:rsidR="009C4AF0" w:rsidRPr="00A57B15" w:rsidRDefault="009C4AF0" w:rsidP="00B43A07">
      <w:pPr>
        <w:pStyle w:val="2"/>
        <w:rPr>
          <w:color w:val="auto"/>
        </w:rPr>
      </w:pPr>
      <w:bookmarkStart w:id="41" w:name="_Toc520986701"/>
    </w:p>
    <w:p w:rsidR="009C4AF0" w:rsidRPr="00A57B15" w:rsidRDefault="009C4AF0" w:rsidP="00B43A07">
      <w:pPr>
        <w:pStyle w:val="2"/>
        <w:rPr>
          <w:color w:val="auto"/>
        </w:rPr>
      </w:pPr>
      <w:bookmarkStart w:id="42" w:name="_Toc52186985"/>
      <w:r w:rsidRPr="00A57B15">
        <w:rPr>
          <w:color w:val="auto"/>
        </w:rPr>
        <w:t>6.1. Образование</w:t>
      </w:r>
      <w:bookmarkEnd w:id="41"/>
      <w:bookmarkEnd w:id="42"/>
    </w:p>
    <w:p w:rsidR="009C4AF0" w:rsidRPr="00A57B15" w:rsidRDefault="009C4AF0" w:rsidP="009C4AF0">
      <w:pPr>
        <w:keepNext/>
        <w:jc w:val="center"/>
        <w:rPr>
          <w:sz w:val="24"/>
          <w:szCs w:val="24"/>
        </w:rPr>
      </w:pPr>
    </w:p>
    <w:p w:rsidR="00685E11" w:rsidRPr="00A57B15" w:rsidRDefault="00685E11" w:rsidP="00685E11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7C379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>Главными целями системы образования являются: о</w:t>
      </w:r>
      <w:r w:rsidRPr="00A57B15">
        <w:rPr>
          <w:sz w:val="24"/>
          <w:szCs w:val="24"/>
        </w:rPr>
        <w:t xml:space="preserve">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В 2020 году будет продолжена </w:t>
      </w:r>
      <w:r w:rsidR="00460FB2" w:rsidRPr="00A57B15">
        <w:rPr>
          <w:sz w:val="24"/>
          <w:szCs w:val="24"/>
        </w:rPr>
        <w:t>работа</w:t>
      </w:r>
      <w:r w:rsidR="007C3791" w:rsidRPr="00A57B15">
        <w:rPr>
          <w:sz w:val="24"/>
          <w:szCs w:val="24"/>
        </w:rPr>
        <w:t xml:space="preserve"> по</w:t>
      </w:r>
      <w:r w:rsidR="00143FDD" w:rsidRPr="00A57B15">
        <w:rPr>
          <w:sz w:val="24"/>
          <w:szCs w:val="24"/>
        </w:rPr>
        <w:t xml:space="preserve"> </w:t>
      </w:r>
    </w:p>
    <w:p w:rsidR="00685E11" w:rsidRPr="00A57B15" w:rsidRDefault="007C379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A57B15">
        <w:rPr>
          <w:sz w:val="24"/>
          <w:szCs w:val="24"/>
          <w:u w:val="single"/>
        </w:rPr>
        <w:t>В</w:t>
      </w:r>
      <w:r w:rsidR="00143FDD" w:rsidRPr="00A57B15">
        <w:rPr>
          <w:sz w:val="24"/>
          <w:szCs w:val="24"/>
          <w:u w:val="single"/>
        </w:rPr>
        <w:t xml:space="preserve"> общем образовании:</w:t>
      </w:r>
    </w:p>
    <w:p w:rsidR="00685E11" w:rsidRPr="00A57B15" w:rsidRDefault="00685E11" w:rsidP="00685E1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-созданию необходимых условий для электронного и дистанционного обучения детей-инвалидов, обучающихся на дому;</w:t>
      </w:r>
    </w:p>
    <w:p w:rsidR="00685E11" w:rsidRPr="00A57B15" w:rsidRDefault="00685E11" w:rsidP="00685E11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-организации деятельности образовательных учреждений по подготовке к ГИА; </w:t>
      </w:r>
    </w:p>
    <w:p w:rsidR="00685E11" w:rsidRPr="00A57B15" w:rsidRDefault="00685E11" w:rsidP="00685E11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-индивидуальной работе с </w:t>
      </w:r>
      <w:proofErr w:type="gramStart"/>
      <w:r w:rsidRPr="00A57B15">
        <w:rPr>
          <w:szCs w:val="24"/>
        </w:rPr>
        <w:t>обучающимися</w:t>
      </w:r>
      <w:proofErr w:type="gramEnd"/>
      <w:r w:rsidRPr="00A57B15">
        <w:rPr>
          <w:szCs w:val="24"/>
        </w:rPr>
        <w:t xml:space="preserve"> с учетом их особенностей.</w:t>
      </w:r>
    </w:p>
    <w:p w:rsidR="00685E11" w:rsidRPr="00A57B15" w:rsidRDefault="00685E11" w:rsidP="00685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15">
        <w:rPr>
          <w:rFonts w:ascii="Times New Roman" w:hAnsi="Times New Roman" w:cs="Times New Roman"/>
          <w:sz w:val="24"/>
          <w:szCs w:val="24"/>
        </w:rPr>
        <w:t xml:space="preserve">В 2020 году осуществляется реализация регионального проекта </w:t>
      </w:r>
      <w:r w:rsidR="00B44186" w:rsidRPr="00A57B15">
        <w:rPr>
          <w:rFonts w:ascii="Times New Roman" w:hAnsi="Times New Roman" w:cs="Times New Roman"/>
          <w:sz w:val="24"/>
          <w:szCs w:val="24"/>
        </w:rPr>
        <w:t>«</w:t>
      </w:r>
      <w:r w:rsidRPr="00A57B15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="00B44186" w:rsidRPr="00A57B15">
        <w:rPr>
          <w:rFonts w:ascii="Times New Roman" w:hAnsi="Times New Roman" w:cs="Times New Roman"/>
          <w:sz w:val="24"/>
          <w:szCs w:val="24"/>
        </w:rPr>
        <w:t>»</w:t>
      </w:r>
      <w:r w:rsidRPr="00A57B15">
        <w:rPr>
          <w:rFonts w:ascii="Times New Roman" w:hAnsi="Times New Roman" w:cs="Times New Roman"/>
          <w:sz w:val="24"/>
          <w:szCs w:val="24"/>
        </w:rPr>
        <w:t xml:space="preserve">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обучения.</w:t>
      </w:r>
      <w:proofErr w:type="gramEnd"/>
    </w:p>
    <w:p w:rsidR="00685E11" w:rsidRPr="00A57B15" w:rsidRDefault="00685E11" w:rsidP="00685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В 2020 году в рамках проекта обновили материально-техническую базу МБОУ «СОШ № 3» и МБОУ «СОШ № 6», в 2022 году планируется обновление материально-технической базы МБОУ «СОШ № 2» и МБОУ «СОШ № 4»</w:t>
      </w:r>
      <w:r w:rsidR="006B66CA" w:rsidRPr="00A57B15">
        <w:rPr>
          <w:rFonts w:ascii="Times New Roman" w:hAnsi="Times New Roman" w:cs="Times New Roman"/>
          <w:sz w:val="24"/>
          <w:szCs w:val="24"/>
        </w:rPr>
        <w:t>.</w:t>
      </w:r>
    </w:p>
    <w:p w:rsidR="00685E11" w:rsidRPr="00A57B15" w:rsidRDefault="00685E11" w:rsidP="00685E11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Все общеобразовательные организации </w:t>
      </w:r>
      <w:proofErr w:type="gramStart"/>
      <w:r w:rsidRPr="00A57B15">
        <w:rPr>
          <w:szCs w:val="24"/>
        </w:rPr>
        <w:t>имеют высокоскоростной интернет 100 Мбит/сек</w:t>
      </w:r>
      <w:proofErr w:type="gramEnd"/>
      <w:r w:rsidRPr="00A57B15">
        <w:rPr>
          <w:szCs w:val="24"/>
        </w:rPr>
        <w:t>. В 2021 году планируется подключение всех школ к ЕСПД (единой сети передачи данных).</w:t>
      </w:r>
    </w:p>
    <w:p w:rsidR="00685E11" w:rsidRPr="00A57B15" w:rsidRDefault="00685E11" w:rsidP="00685E11">
      <w:pPr>
        <w:pStyle w:val="aff5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Продолжается создание необходимых условий для электронного и дистанционного обучения детей-инвалидов, обучающихся на дому, участие МБОУ «СОШ № 6» и МБОУ «СОШ № 7» в проекте «Мобильное электронное образование».</w:t>
      </w:r>
    </w:p>
    <w:p w:rsidR="00685E11" w:rsidRPr="00A57B15" w:rsidRDefault="00685E11" w:rsidP="00685E11">
      <w:pPr>
        <w:ind w:firstLine="700"/>
        <w:jc w:val="both"/>
        <w:rPr>
          <w:sz w:val="24"/>
          <w:szCs w:val="24"/>
          <w:lang w:eastAsia="en-US"/>
        </w:rPr>
      </w:pPr>
      <w:proofErr w:type="gramStart"/>
      <w:r w:rsidRPr="00A57B15">
        <w:rPr>
          <w:sz w:val="24"/>
          <w:szCs w:val="24"/>
          <w:lang w:eastAsia="en-US"/>
        </w:rPr>
        <w:t xml:space="preserve">С 2019 года МБОУ «СОШ № 6» является региональной инновационной площадкой для реализации инновационного проекта «Создание и развитие цифровой образовательной среды на основе платформы «Мобильное электронное образование» для различных категорий учащихся» в рамках региональной инновационной программы «Развитие современной </w:t>
      </w:r>
      <w:proofErr w:type="spellStart"/>
      <w:r w:rsidRPr="00A57B15">
        <w:rPr>
          <w:sz w:val="24"/>
          <w:szCs w:val="24"/>
          <w:lang w:eastAsia="en-US"/>
        </w:rPr>
        <w:t>социокультурной</w:t>
      </w:r>
      <w:proofErr w:type="spellEnd"/>
      <w:r w:rsidRPr="00A57B15">
        <w:rPr>
          <w:sz w:val="24"/>
          <w:szCs w:val="24"/>
          <w:lang w:eastAsia="en-US"/>
        </w:rPr>
        <w:t xml:space="preserve">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обучения».</w:t>
      </w:r>
      <w:proofErr w:type="gramEnd"/>
    </w:p>
    <w:p w:rsidR="00685E11" w:rsidRPr="00A57B15" w:rsidRDefault="00685E11" w:rsidP="00685E11">
      <w:pPr>
        <w:shd w:val="clear" w:color="auto" w:fill="FFFFFF"/>
        <w:ind w:firstLine="708"/>
        <w:jc w:val="both"/>
        <w:rPr>
          <w:sz w:val="24"/>
          <w:szCs w:val="24"/>
          <w:lang w:eastAsia="en-US"/>
        </w:rPr>
      </w:pPr>
      <w:r w:rsidRPr="00A57B15">
        <w:rPr>
          <w:sz w:val="24"/>
          <w:szCs w:val="24"/>
          <w:lang w:eastAsia="en-US"/>
        </w:rPr>
        <w:t xml:space="preserve">Внедряется государственная информационная система «Современное образование Ленинградской области» (ГИС «СОЛО»). </w:t>
      </w:r>
    </w:p>
    <w:p w:rsidR="00685E11" w:rsidRPr="00A57B15" w:rsidRDefault="00685E11" w:rsidP="00685E11">
      <w:pPr>
        <w:shd w:val="clear" w:color="auto" w:fill="FFFFFF"/>
        <w:ind w:left="300" w:right="301" w:firstLine="360"/>
        <w:rPr>
          <w:sz w:val="24"/>
          <w:szCs w:val="24"/>
          <w:lang w:eastAsia="en-US"/>
        </w:rPr>
      </w:pPr>
      <w:r w:rsidRPr="00A57B15">
        <w:rPr>
          <w:sz w:val="24"/>
          <w:szCs w:val="24"/>
          <w:lang w:eastAsia="en-US"/>
        </w:rPr>
        <w:lastRenderedPageBreak/>
        <w:t>В ГИС «СОЛО» входит: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t>-</w:t>
      </w:r>
      <w:r w:rsidR="00685E11" w:rsidRPr="00A57B15">
        <w:rPr>
          <w:sz w:val="24"/>
          <w:szCs w:val="24"/>
        </w:rPr>
        <w:t>подсистема «Региональная база образовательных организаций»;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«Единый информационный образовательный портал»;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«Электронная школа»;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«Электронная запись в 1 класс»;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«Электронная запись в школу»;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интеграции с федеральной государственной информационной системой «Формирование и ведение федерального регистра инвалидов»;</w:t>
      </w:r>
    </w:p>
    <w:p w:rsidR="00685E11" w:rsidRPr="00A57B15" w:rsidRDefault="007C3791" w:rsidP="007C3791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подсистема «Социальный навигатор»;</w:t>
      </w:r>
    </w:p>
    <w:p w:rsidR="00685E11" w:rsidRPr="00A57B15" w:rsidRDefault="007C3791" w:rsidP="007C3791">
      <w:pPr>
        <w:shd w:val="clear" w:color="auto" w:fill="FFFFFF"/>
        <w:ind w:left="568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>автоматизированная информационная система «Электронный детский сад».</w:t>
      </w:r>
    </w:p>
    <w:p w:rsidR="00685E11" w:rsidRPr="00A57B15" w:rsidRDefault="00685E11" w:rsidP="00685E11">
      <w:pPr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2. В дошкольном образовании: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созданию условий, обеспечивающих доступность качественного дошкольного образования;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активизации работы центров игровой поддержки ребенка (ЦИПР) для детей раннего возраста, не посещающих дошкольные образовательные учреждения Сосновоборского городского округа.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продолжению работы консультационных центров для родителей, обеспечивающих получение детьми дошкольного образования в форме семейного образования.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3. В дополнительном образовании: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проектной и исследовательской деятельности;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технического творчества и естественнонаучного направления;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дальнейше</w:t>
      </w:r>
      <w:r w:rsidR="00014692" w:rsidRPr="00A57B15">
        <w:rPr>
          <w:sz w:val="24"/>
          <w:szCs w:val="24"/>
        </w:rPr>
        <w:t>му</w:t>
      </w:r>
      <w:r w:rsidRPr="00A57B15">
        <w:rPr>
          <w:sz w:val="24"/>
          <w:szCs w:val="24"/>
        </w:rPr>
        <w:t xml:space="preserve"> развити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центра патриотического воспитания;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приобщени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к массовым спортивным мероприятиям, сдача норм ГТО;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расширени</w:t>
      </w:r>
      <w:r w:rsidR="00014692" w:rsidRPr="00A57B15">
        <w:rPr>
          <w:sz w:val="24"/>
          <w:szCs w:val="24"/>
        </w:rPr>
        <w:t xml:space="preserve">ю </w:t>
      </w:r>
      <w:r w:rsidRPr="00A57B15">
        <w:rPr>
          <w:sz w:val="24"/>
          <w:szCs w:val="24"/>
        </w:rPr>
        <w:t>спектра платных услуг;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дальнейше</w:t>
      </w:r>
      <w:r w:rsidR="00014692" w:rsidRPr="00A57B15">
        <w:rPr>
          <w:sz w:val="24"/>
          <w:szCs w:val="24"/>
        </w:rPr>
        <w:t>му</w:t>
      </w:r>
      <w:r w:rsidRPr="00A57B15">
        <w:rPr>
          <w:sz w:val="24"/>
          <w:szCs w:val="24"/>
        </w:rPr>
        <w:t xml:space="preserve"> развити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муниципального опорного центра дополнительного образования;</w:t>
      </w:r>
    </w:p>
    <w:p w:rsidR="00685E11" w:rsidRPr="00A57B15" w:rsidRDefault="00685E11" w:rsidP="00685E11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</w:t>
      </w:r>
      <w:r w:rsidR="00014692" w:rsidRPr="00A57B15">
        <w:rPr>
          <w:sz w:val="24"/>
          <w:szCs w:val="24"/>
        </w:rPr>
        <w:t>ю</w:t>
      </w:r>
      <w:r w:rsidRPr="00A57B15">
        <w:rPr>
          <w:sz w:val="24"/>
          <w:szCs w:val="24"/>
        </w:rPr>
        <w:t xml:space="preserve"> внедрения персонифицированного финансирования в рамках регионального проекта «Успех каждого ребенка».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в рамках реализации мероприятий по укреплению материально-технической базы, обеспечению содержания зданий и сооружений, обустройству прилегающих территорий муниципальных образовательных организаций Сосновоборского городского округа будут проведены работы по: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замене автоматической пожарной сигнализации в пяти образовательных организациях - МБОУ «СОШ №7», МБДОУ «Детский сад № 8», МБДОУ «Детский сад № 18», МБОУ ДО «ДЮСШ», МБОУ ДО «ДДТ»;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ремонту </w:t>
      </w:r>
      <w:proofErr w:type="spellStart"/>
      <w:r w:rsidRPr="00A57B15">
        <w:rPr>
          <w:sz w:val="24"/>
          <w:szCs w:val="24"/>
        </w:rPr>
        <w:t>отмостки</w:t>
      </w:r>
      <w:proofErr w:type="spellEnd"/>
      <w:r w:rsidRPr="00A57B15">
        <w:rPr>
          <w:sz w:val="24"/>
          <w:szCs w:val="24"/>
        </w:rPr>
        <w:t xml:space="preserve"> здания, асфальтового покрытия и крылец в семи образовательных организациях - МБОУ «СОШ №1», МБДОУ «Центр развития ребенка № 2», МБДОУ «Детский сад № 5», МБДОУ «Детский сад № 11», МБДОУ «Детский сад № 9», МБДОУ «Детский сад № 12», МБДОУ «Центр развития ребенка № 19»;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капитальному ремонту спортивной площадки МБОУ «СОШ №2»;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благоустройству и улучшению эстетического состояния внутреннего двора школы МБОУ «СОШ №3»;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холла центрального входа МБОУ «Гимназия №5»;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спортивного зала МБОУ «СОШ №6»;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и замене теневых навесов в четырех дошкольных образовательных организациях - МБДОУ «Детский сад № 1», МБДОУ «Детский сад № 12», МБДОУ «Центр развития ребенка № 15», МБДОУ «Детский сад № 18»;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замене ограждения в МБДОУ «Детский сад № 1» и МБДОУ ДО «ЦРТ»;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и оснащению новой группы в МБДОУ «Детский сад № 5»;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обустройству спортивной площадки МБДОУ «Детский сад № 9»;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устройству уличного освещения МБДОУ «Центр развития ребенка № 15»;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ремонту инженерных сетей в подвальных помещениях в пяти дошкольных образовательных организациях - МБДОУ «Детский сад № 4», МБДОУ «Детский сад № 7», </w:t>
      </w:r>
      <w:r w:rsidRPr="00A57B15">
        <w:rPr>
          <w:sz w:val="24"/>
          <w:szCs w:val="24"/>
        </w:rPr>
        <w:lastRenderedPageBreak/>
        <w:t>МБДОУ «Детский сад № 12», МБДОУ «Детский сад № 18», МБДОУ «Центр развития ребенка № 19»;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замене зенитных фонарей и ремонту приточной вентиляции в залах дзюдо и гимнастики МБОУ ДО «ДЮСШ»;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благоустройству внутреннего </w:t>
      </w:r>
      <w:proofErr w:type="gramStart"/>
      <w:r w:rsidRPr="00A57B15">
        <w:rPr>
          <w:sz w:val="24"/>
          <w:szCs w:val="24"/>
        </w:rPr>
        <w:t>двора здания Центра патриотического воспитания детей</w:t>
      </w:r>
      <w:proofErr w:type="gramEnd"/>
      <w:r w:rsidRPr="00A57B15">
        <w:rPr>
          <w:sz w:val="24"/>
          <w:szCs w:val="24"/>
        </w:rPr>
        <w:t xml:space="preserve"> и подростков Сосновоборского городского округа оборудованным плацем МБОУ ДО «ДДТ»;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помещений во всех образовательных организациях.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расчетом объема финансовых средств, полученных за счет оптимизационных мероприятий, направленный на повышение заработной платы педагогическ</w:t>
      </w:r>
      <w:r w:rsidR="0081721D">
        <w:rPr>
          <w:sz w:val="24"/>
          <w:szCs w:val="24"/>
        </w:rPr>
        <w:t>их работников в соответствии с У</w:t>
      </w:r>
      <w:r w:rsidRPr="00A57B15">
        <w:rPr>
          <w:sz w:val="24"/>
          <w:szCs w:val="24"/>
        </w:rPr>
        <w:t>казами Президента Российской Федерации от 07 мая 2012г. № 597 «О мероприятиях по реализации государственной социальной политики», от 01 июня 2012г. № 761 «О национальной стратегии действий в интересах детей на 2012-2017 годы» и от 28 декабря 2012г. № 1688 «О некоторых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мерах по реализации государственной политики в сфере защиты детей-сирот, оставшихся без попечения родителей» средняя заработная плата педагогических работников общеобразовательных учреждений должна быть доведена до уровня 111,8 % от среднемесячного дохода от трудовой деятельности в Ленинградской области.</w:t>
      </w:r>
      <w:proofErr w:type="gramEnd"/>
      <w:r w:rsidRPr="00A57B15">
        <w:rPr>
          <w:sz w:val="24"/>
          <w:szCs w:val="24"/>
        </w:rPr>
        <w:t xml:space="preserve"> Средняя заработная плата педагогических работников дошкольных образовательных учреждений – до уровня 104,3% от средней заработной платы работников общеобразовательных учреждений; педагогических работников учреждений дополнительного образования – до уровня 105,3 % от средней заработной платы учителей общеобразовательных учреждений.</w:t>
      </w: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целях привлечения выпускников учебных заведений в образовательные учреждения города в 2020 году на муниципальном уровне сохранится выплата разового пособия молодым специалистам, приступившим к работе в образовательных учреждениях в год окончания учебного заведения до 1 сентября. Выплата частичной компенсации за съемное жилье в размере 7 тысяч рублей в месяц 34 педагогическим работникам.</w:t>
      </w:r>
    </w:p>
    <w:p w:rsidR="007D5603" w:rsidRDefault="007D5603" w:rsidP="00685E11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На прогнозируемый период определены основные цели деятельности муниципальной системы образования:</w:t>
      </w: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1) обеспечение доступности, повышение эффективности и качества дошкольного образования; создание дополнительных мест для детей дошкольного возраста; обеспечение доступности качественного образования и успешную социализацию детей с ограниченными возможностями здоровья и детей инвалидов;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  <w:proofErr w:type="gramEnd"/>
    </w:p>
    <w:p w:rsidR="00685E11" w:rsidRPr="00A57B15" w:rsidRDefault="00685E11" w:rsidP="007C379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 xml:space="preserve">2) расширение доступности качественного общего образования детей, соответствующего современным требованиям; обновление содержания общего образования детей в соответствии с ФГОС; </w:t>
      </w:r>
      <w:r w:rsidRPr="00A57B15">
        <w:rPr>
          <w:sz w:val="24"/>
          <w:szCs w:val="24"/>
          <w:shd w:val="clear" w:color="auto" w:fill="FFFFFF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  <w:proofErr w:type="gramEnd"/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3) </w:t>
      </w:r>
      <w:r w:rsidRPr="00A57B15">
        <w:rPr>
          <w:sz w:val="24"/>
          <w:szCs w:val="24"/>
          <w:shd w:val="clear" w:color="auto" w:fill="FFFFFF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  <w:r w:rsidRPr="00A57B15">
        <w:rPr>
          <w:sz w:val="24"/>
          <w:szCs w:val="24"/>
        </w:rPr>
        <w:t>создание условий для формирования здорового образа жизни;</w:t>
      </w:r>
    </w:p>
    <w:p w:rsidR="00685E11" w:rsidRPr="00A57B15" w:rsidRDefault="00685E11" w:rsidP="00685E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4) сохранение охвата дополнительным образованием детей и подростков в возрасте 5-18 лет; профессиональное ориентирование подростков; участие в проекте по ранней профессиональной ориентации учащихся 6-11-х классов общеобразовательных организаций «Билет в будущее»; участие МБОУДО «ЦРТ» в качестве региональной площадки проведения практических мероприятий проекта «Билет в будущее»; </w:t>
      </w:r>
      <w:proofErr w:type="gramStart"/>
      <w:r w:rsidRPr="00A57B15">
        <w:rPr>
          <w:sz w:val="24"/>
          <w:szCs w:val="24"/>
        </w:rPr>
        <w:t xml:space="preserve">улучшение условий для </w:t>
      </w:r>
      <w:r w:rsidRPr="00A57B15">
        <w:rPr>
          <w:sz w:val="24"/>
          <w:szCs w:val="24"/>
        </w:rPr>
        <w:lastRenderedPageBreak/>
        <w:t>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личности; 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образования;</w:t>
      </w:r>
      <w:proofErr w:type="gramEnd"/>
      <w:r w:rsidRPr="00A57B15">
        <w:rPr>
          <w:sz w:val="24"/>
          <w:szCs w:val="24"/>
        </w:rPr>
        <w:t xml:space="preserve"> оказание муниципальным опорным центром дополнительного образования ресурсной, учебно-методической, организационной, экспертно-консультационной поддержки, а также координация деятельности учреждений дополнительного образования и оказание методической поддержки организациям, осуществляющим обучение в сфере дополнительного образования детей;</w:t>
      </w: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A57B15">
        <w:rPr>
          <w:sz w:val="24"/>
          <w:szCs w:val="24"/>
        </w:rPr>
        <w:t xml:space="preserve">5) </w:t>
      </w:r>
      <w:r w:rsidRPr="00A57B15">
        <w:rPr>
          <w:sz w:val="24"/>
          <w:szCs w:val="24"/>
          <w:shd w:val="clear" w:color="auto" w:fill="FFFFF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Pr="00A57B15">
        <w:rPr>
          <w:sz w:val="24"/>
          <w:szCs w:val="24"/>
        </w:rPr>
        <w:t xml:space="preserve">; </w:t>
      </w:r>
      <w:r w:rsidRPr="00A57B15">
        <w:rPr>
          <w:sz w:val="24"/>
          <w:szCs w:val="24"/>
          <w:lang w:eastAsia="en-US"/>
        </w:rPr>
        <w:t xml:space="preserve">организация электронного и дистанционного обучения детей-инвалидов, обучающихся на дому; </w:t>
      </w:r>
      <w:r w:rsidRPr="00A57B15">
        <w:rPr>
          <w:sz w:val="24"/>
          <w:szCs w:val="24"/>
        </w:rPr>
        <w:t>Планируется подключение обучающихся также к таким федеральным системам как 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  <w:proofErr w:type="gramEnd"/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6) организация отдыха и оздоровления детей и подростков в каникулярное время, в том числе в выездных лагерях; организация туристических походов;</w:t>
      </w:r>
    </w:p>
    <w:p w:rsidR="00685E11" w:rsidRPr="00A57B15" w:rsidRDefault="00685E11" w:rsidP="00685E11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7) укрепление материально-технической базы образовательных учреждений, приведение в соответствие с современными требованиями и нормами; создание безопасных условий для обучающихся, воспитанников и работников образовательных учреждений; обеспечение и содержание зданий и сооружений образовательных организаций, обустройство прилегающих к ним территорий;</w:t>
      </w:r>
    </w:p>
    <w:p w:rsidR="00685E11" w:rsidRPr="00A57B15" w:rsidRDefault="00685E11" w:rsidP="00685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>8) повышение социального престижа и привлекательности педагогической профессии, уровня квалификации педагогических кадров;</w:t>
      </w:r>
      <w:r w:rsidRPr="00A57B15">
        <w:rPr>
          <w:sz w:val="24"/>
          <w:szCs w:val="24"/>
        </w:rPr>
        <w:t xml:space="preserve"> дальнейшее использование возможностей персонифицированной модели повышения квалификации педагогических работников, как для повышения квалификации самого учителя, так и для обобщения полученного опыта среди педагогов города; </w:t>
      </w:r>
      <w:r w:rsidRPr="00A57B15">
        <w:rPr>
          <w:sz w:val="24"/>
          <w:szCs w:val="24"/>
          <w:shd w:val="clear" w:color="auto" w:fill="FFFFFF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</w:r>
      <w:r w:rsidRPr="00A57B15">
        <w:rPr>
          <w:sz w:val="24"/>
          <w:szCs w:val="24"/>
        </w:rPr>
        <w:t>.</w:t>
      </w:r>
    </w:p>
    <w:p w:rsidR="00685E11" w:rsidRPr="00A57B15" w:rsidRDefault="00685E11" w:rsidP="00685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9) участие в реализации национального проекта «Учитель будущего» позволит создать дополнительные стимулы для привлечения молодых и </w:t>
      </w:r>
      <w:proofErr w:type="gramStart"/>
      <w:r w:rsidRPr="00A57B15">
        <w:rPr>
          <w:sz w:val="24"/>
          <w:szCs w:val="24"/>
        </w:rPr>
        <w:t>амбициозных</w:t>
      </w:r>
      <w:proofErr w:type="gramEnd"/>
      <w:r w:rsidRPr="00A57B15">
        <w:rPr>
          <w:sz w:val="24"/>
          <w:szCs w:val="24"/>
        </w:rPr>
        <w:t xml:space="preserve"> специалистов в образовательные организации города и, в конечном итоге, обеспечить повышение качества образования.</w:t>
      </w:r>
    </w:p>
    <w:p w:rsidR="00685E11" w:rsidRPr="00A57B15" w:rsidRDefault="00685E11" w:rsidP="00685E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Основные 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Предполагаемые пути решения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1" w:rsidRPr="00A57B15" w:rsidRDefault="00685E11" w:rsidP="003C7EA9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1. Нехватка </w:t>
            </w:r>
            <w:proofErr w:type="gramStart"/>
            <w:r w:rsidRPr="00A57B15">
              <w:rPr>
                <w:sz w:val="24"/>
                <w:szCs w:val="24"/>
              </w:rPr>
              <w:t>педагогических</w:t>
            </w:r>
            <w:proofErr w:type="gramEnd"/>
            <w:r w:rsidRPr="00A57B15">
              <w:rPr>
                <w:sz w:val="24"/>
                <w:szCs w:val="24"/>
              </w:rPr>
              <w:t xml:space="preserve"> кадров</w:t>
            </w:r>
          </w:p>
          <w:p w:rsidR="00685E11" w:rsidRPr="00A57B15" w:rsidRDefault="00685E11" w:rsidP="003C7EA9">
            <w:pPr>
              <w:pStyle w:val="a7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В 2020-2023 г. предусмотрено и планируется:</w:t>
            </w:r>
          </w:p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 -выплата разового пособия молодым специалистам, прибывающим в образовательные учреждения Сосновоборского городского округа;</w:t>
            </w:r>
          </w:p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-выплата компенсации за съёмное жилье педагогическим работникам;</w:t>
            </w:r>
          </w:p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-обеспечение временным жильем педагогических работников, в том числе служебным.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Сохранение дефицита мест в дошкольных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 В 2022 г. планируется открытие нового дошкольного образовательного учреждения на 240 мест, строительство которого началось в 2020 году.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3.Неблагоприятные тенденции медико-демографических показателей, болезненности и смертности на фоне экологической и социальной </w:t>
            </w:r>
            <w:r w:rsidRPr="00A57B15">
              <w:rPr>
                <w:sz w:val="24"/>
                <w:szCs w:val="24"/>
              </w:rPr>
              <w:lastRenderedPageBreak/>
              <w:t>нестабильности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lastRenderedPageBreak/>
              <w:t xml:space="preserve">В 2020-2023 г. проводится внедрение рационального питания, повышение охвата 2-х разовым горячим питанием, совершенствование качества приготовления продукции за счет использования современного технологического оборудования. </w:t>
            </w:r>
          </w:p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lastRenderedPageBreak/>
              <w:t>В 2020 году для увеличения двигательной активности подрастающего поколения предусмотрено обустройство спортивной площадки МБДОУ «Детский сад № 9»; капитальный ремонт спортивной площадки МБОУ «СОШ № 2».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BD7CD5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lastRenderedPageBreak/>
              <w:t xml:space="preserve">4. Не полное соответствие материально-технической базы муниципальных образовательных организаций современным требованиям оснащенности.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Проведение текущих и капитальных ремонтов в образовательных организациях в соответствии с требованиями </w:t>
            </w:r>
            <w:proofErr w:type="spellStart"/>
            <w:r w:rsidRPr="00A57B15">
              <w:rPr>
                <w:szCs w:val="24"/>
              </w:rPr>
              <w:t>СанПин</w:t>
            </w:r>
            <w:proofErr w:type="spellEnd"/>
            <w:r w:rsidRPr="00A57B15">
              <w:rPr>
                <w:szCs w:val="24"/>
              </w:rPr>
              <w:t xml:space="preserve"> и </w:t>
            </w:r>
            <w:proofErr w:type="spellStart"/>
            <w:r w:rsidRPr="00A57B15">
              <w:rPr>
                <w:szCs w:val="24"/>
              </w:rPr>
              <w:t>Госпожнадзора</w:t>
            </w:r>
            <w:proofErr w:type="spellEnd"/>
            <w:r w:rsidRPr="00A57B15">
              <w:rPr>
                <w:szCs w:val="24"/>
              </w:rPr>
              <w:t>.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3C7EA9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5. Ограждения и освещенность территорий отдельных образовательных организаций не соответствуют требованиям </w:t>
            </w:r>
            <w:proofErr w:type="spellStart"/>
            <w:r w:rsidRPr="00A57B15">
              <w:rPr>
                <w:szCs w:val="24"/>
              </w:rPr>
              <w:t>СанПин</w:t>
            </w:r>
            <w:proofErr w:type="spellEnd"/>
            <w:r w:rsidRPr="00A57B15">
              <w:rPr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1" w:rsidRPr="00A57B15" w:rsidRDefault="00685E11" w:rsidP="003C7EA9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2020 году выполнение работ по замене ограждения МБДОУ «Детский сад № 1», МБОУ ДО «ЦРТ».</w:t>
            </w:r>
          </w:p>
          <w:p w:rsidR="00685E11" w:rsidRPr="00A57B15" w:rsidRDefault="00685E11" w:rsidP="003C7EA9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2021 году планируется выполнение работ по замене ограждения МБДОУ «Детский сад № 8».</w:t>
            </w:r>
          </w:p>
        </w:tc>
      </w:tr>
      <w:tr w:rsidR="00685E11" w:rsidRPr="00A57B15" w:rsidTr="003C7E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1" w:rsidRPr="00A57B15" w:rsidRDefault="00685E11" w:rsidP="00BD7CD5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6. Отсутствие финансовых ресурсов исполнения требований надзорных органов в области обеспечения безопасности образовательных учреждений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1" w:rsidRPr="00A57B15" w:rsidRDefault="00685E11" w:rsidP="003C7EA9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 2020-2021 </w:t>
            </w:r>
            <w:proofErr w:type="gramStart"/>
            <w:r w:rsidRPr="00A57B15">
              <w:rPr>
                <w:sz w:val="24"/>
                <w:szCs w:val="24"/>
              </w:rPr>
              <w:t>г.г. запланирована</w:t>
            </w:r>
            <w:proofErr w:type="gramEnd"/>
            <w:r w:rsidRPr="00A57B15">
              <w:rPr>
                <w:sz w:val="24"/>
                <w:szCs w:val="24"/>
              </w:rPr>
              <w:t xml:space="preserve"> установка систем контроля и обеспечения доступа (СКУД), систем обеспечения экстренных оперативных служб по единому номеру «112», оснащение металлоискателями.</w:t>
            </w:r>
          </w:p>
        </w:tc>
      </w:tr>
    </w:tbl>
    <w:p w:rsidR="009C4AF0" w:rsidRPr="00A57B15" w:rsidRDefault="009C4AF0" w:rsidP="009C4AF0">
      <w:pPr>
        <w:ind w:firstLine="709"/>
        <w:rPr>
          <w:sz w:val="24"/>
          <w:szCs w:val="24"/>
        </w:rPr>
      </w:pPr>
    </w:p>
    <w:p w:rsidR="00A00FD3" w:rsidRPr="00A57B15" w:rsidRDefault="00A00FD3" w:rsidP="009C4AF0">
      <w:pPr>
        <w:ind w:firstLine="709"/>
        <w:rPr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43" w:name="_Toc16152564"/>
      <w:bookmarkStart w:id="44" w:name="_Toc52186986"/>
      <w:r w:rsidRPr="00A57B15">
        <w:rPr>
          <w:color w:val="auto"/>
        </w:rPr>
        <w:t>6.2. Здравоохранение.</w:t>
      </w:r>
      <w:bookmarkEnd w:id="43"/>
      <w:bookmarkEnd w:id="44"/>
    </w:p>
    <w:p w:rsidR="009C4AF0" w:rsidRPr="00A57B15" w:rsidRDefault="009C4AF0" w:rsidP="009C4AF0">
      <w:pPr>
        <w:pStyle w:val="21"/>
        <w:spacing w:after="0" w:line="276" w:lineRule="auto"/>
        <w:ind w:left="0" w:firstLine="709"/>
        <w:jc w:val="both"/>
        <w:rPr>
          <w:b/>
          <w:bCs/>
          <w:sz w:val="24"/>
          <w:szCs w:val="24"/>
        </w:rPr>
      </w:pPr>
      <w:bookmarkStart w:id="45" w:name="_Toc363648784"/>
      <w:bookmarkStart w:id="46" w:name="_Toc366766215"/>
      <w:bookmarkStart w:id="47" w:name="_Toc369613807"/>
      <w:bookmarkStart w:id="48" w:name="_Toc369696931"/>
      <w:bookmarkStart w:id="49" w:name="_Toc389727800"/>
      <w:bookmarkStart w:id="50" w:name="_Toc270930059"/>
    </w:p>
    <w:p w:rsidR="00D71D3A" w:rsidRPr="00A57B15" w:rsidRDefault="00D71D3A" w:rsidP="00D71D3A">
      <w:pPr>
        <w:pStyle w:val="21"/>
        <w:spacing w:after="0" w:line="276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2020 году в системе здравоохранения Сосновоборского городского округа охраняется существующая структура, охватывающая все необходимые направления деятельности: лечебно-профилактической, фармакологической, санитарно-эпидемиологической. 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систему здравоохранения города входят: </w:t>
      </w:r>
      <w:proofErr w:type="gramStart"/>
      <w:r w:rsidRPr="00A57B15">
        <w:rPr>
          <w:sz w:val="24"/>
          <w:szCs w:val="24"/>
        </w:rPr>
        <w:t>ФГБУЗ ЦМСЧ № 38 ФМБА России, санаторий-профилакторий «</w:t>
      </w:r>
      <w:proofErr w:type="spellStart"/>
      <w:r w:rsidRPr="00A57B15">
        <w:rPr>
          <w:sz w:val="24"/>
          <w:szCs w:val="24"/>
        </w:rPr>
        <w:t>Копанское</w:t>
      </w:r>
      <w:proofErr w:type="spellEnd"/>
      <w:r w:rsidRPr="00A57B15">
        <w:rPr>
          <w:sz w:val="24"/>
          <w:szCs w:val="24"/>
        </w:rPr>
        <w:t>» филиала концерна «Росэнергоатом» «ЛАС»; 12 здравпунктов на предприятиях; 14 аптек и 20 аптечных пунктов; 11 частнопрактикующих медицинских учреждений (стоматологические:</w:t>
      </w:r>
      <w:proofErr w:type="gramEnd"/>
      <w:r w:rsidRPr="00A57B15">
        <w:rPr>
          <w:sz w:val="24"/>
          <w:szCs w:val="24"/>
        </w:rPr>
        <w:t xml:space="preserve"> «</w:t>
      </w:r>
      <w:proofErr w:type="spellStart"/>
      <w:r w:rsidRPr="00A57B15">
        <w:rPr>
          <w:sz w:val="24"/>
          <w:szCs w:val="24"/>
        </w:rPr>
        <w:t>Элефант</w:t>
      </w:r>
      <w:proofErr w:type="spellEnd"/>
      <w:r w:rsidRPr="00A57B15">
        <w:rPr>
          <w:sz w:val="24"/>
          <w:szCs w:val="24"/>
        </w:rPr>
        <w:t>», «КЭС «</w:t>
      </w:r>
      <w:proofErr w:type="spellStart"/>
      <w:r w:rsidRPr="00A57B15">
        <w:rPr>
          <w:sz w:val="24"/>
          <w:szCs w:val="24"/>
        </w:rPr>
        <w:t>СБорДент</w:t>
      </w:r>
      <w:proofErr w:type="spellEnd"/>
      <w:r w:rsidRPr="00A57B15">
        <w:rPr>
          <w:sz w:val="24"/>
          <w:szCs w:val="24"/>
        </w:rPr>
        <w:t xml:space="preserve">», «Сонет», медицинские центры: </w:t>
      </w:r>
      <w:proofErr w:type="gramStart"/>
      <w:r w:rsidRPr="00A57B15">
        <w:rPr>
          <w:sz w:val="24"/>
          <w:szCs w:val="24"/>
        </w:rPr>
        <w:t>«Здоровье», «</w:t>
      </w:r>
      <w:proofErr w:type="spellStart"/>
      <w:r w:rsidRPr="00A57B15">
        <w:rPr>
          <w:sz w:val="24"/>
          <w:szCs w:val="24"/>
        </w:rPr>
        <w:t>Медлайн</w:t>
      </w:r>
      <w:proofErr w:type="spellEnd"/>
      <w:r w:rsidRPr="00A57B15">
        <w:rPr>
          <w:sz w:val="24"/>
          <w:szCs w:val="24"/>
        </w:rPr>
        <w:t>» ООО «Положительный фактор», «Панацея», «Меридиан» («Дантист»), «Центр медицинских анализов», «Центр семейной медицины «ТИТАНМЕД», «ПРОФМЕД», «</w:t>
      </w:r>
      <w:proofErr w:type="spellStart"/>
      <w:r w:rsidRPr="00A57B15">
        <w:rPr>
          <w:sz w:val="24"/>
          <w:szCs w:val="24"/>
        </w:rPr>
        <w:t>СБорМед</w:t>
      </w:r>
      <w:proofErr w:type="spellEnd"/>
      <w:r w:rsidRPr="00A57B15">
        <w:rPr>
          <w:sz w:val="24"/>
          <w:szCs w:val="24"/>
        </w:rPr>
        <w:t>»).</w:t>
      </w:r>
      <w:proofErr w:type="gramEnd"/>
      <w:r w:rsidRPr="00A57B15">
        <w:rPr>
          <w:sz w:val="24"/>
          <w:szCs w:val="24"/>
        </w:rPr>
        <w:t xml:space="preserve"> На территории Сосновоборского городского округа система обязательного медицинского страхования (ОМС) представлена 3 страховыми компаниями: АО «СК «</w:t>
      </w:r>
      <w:proofErr w:type="spellStart"/>
      <w:r w:rsidRPr="00A57B15">
        <w:rPr>
          <w:sz w:val="24"/>
          <w:szCs w:val="24"/>
        </w:rPr>
        <w:t>СОГАЗ-Мед</w:t>
      </w:r>
      <w:proofErr w:type="spellEnd"/>
      <w:r w:rsidRPr="00A57B15">
        <w:rPr>
          <w:sz w:val="24"/>
          <w:szCs w:val="24"/>
        </w:rPr>
        <w:t>», ООО «Капитал - МС» и ОАО «ВТБ-МС». Кроме ОМС, медицинские страховые компании предлагают населению города медицинские услуги в рамках добровольного медицинского страхования.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Сосновоборском городском округе в соответствии с Федеральным законом от 18.10.2007 г. № 230-ФЗ «О внесении изменений в отдельные законодательные акты Российской Федерации в связи с совершенствованием разграничения полномочий» и распоряжением Правительства РФ № 1156-р от 21.08.2006 «Об утверждении перечня организаций и перечня территорий, подлежащих обслуживанию ФМБА России» медицинскую помощь населению оказывает федеральное государственное бюджетное учреждение здравоохранения «Центральная медико-санитарная часть №38 Федерального</w:t>
      </w:r>
      <w:proofErr w:type="gramEnd"/>
      <w:r w:rsidRPr="00A57B15">
        <w:rPr>
          <w:sz w:val="24"/>
          <w:szCs w:val="24"/>
        </w:rPr>
        <w:t xml:space="preserve"> медико-биологического агентства России» (далее - ФГБУЗ «ЦМСЧ № 38 ФМБА России»), </w:t>
      </w:r>
      <w:proofErr w:type="gramStart"/>
      <w:r w:rsidRPr="00A57B15">
        <w:rPr>
          <w:sz w:val="24"/>
          <w:szCs w:val="24"/>
        </w:rPr>
        <w:t>финансируемое</w:t>
      </w:r>
      <w:proofErr w:type="gramEnd"/>
      <w:r w:rsidRPr="00A57B15">
        <w:rPr>
          <w:sz w:val="24"/>
          <w:szCs w:val="24"/>
        </w:rPr>
        <w:t xml:space="preserve"> за счет средств федерального бюджета и фонда обязательного медицинского страхования (ОМС). В соответствие с лицензией ФГБУЗ «ЦМСЧ № 38 ФМБА России» оказывает порядка 100 видов медицинской помощи, имеет право осуществлять деятельность </w:t>
      </w:r>
      <w:r w:rsidRPr="00A57B15">
        <w:rPr>
          <w:sz w:val="24"/>
          <w:szCs w:val="24"/>
        </w:rPr>
        <w:lastRenderedPageBreak/>
        <w:t xml:space="preserve">экспертную, фармацевтическую и деятельность, связанную с оборотом наркотических средств и психотропных веществ. </w:t>
      </w:r>
    </w:p>
    <w:p w:rsidR="00D71D3A" w:rsidRPr="00A57B15" w:rsidRDefault="00D71D3A" w:rsidP="00D71D3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57B15">
        <w:t xml:space="preserve">Реализуется проект «Бережливая поликлиника», который действует во взрослой поликлинике, в перспективе внедрение полного электронного документооборота в ЦМСЧ № 38: электронные медицинские карты, электронные листки нетрудоспособности, электронные рецепты на лекарства. Это позволяет высвободить до тридцати процентов рабочего времени специалистов. </w:t>
      </w:r>
    </w:p>
    <w:p w:rsidR="00D71D3A" w:rsidRPr="00A57B15" w:rsidRDefault="00D71D3A" w:rsidP="00D71D3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57B15">
        <w:t>В ЦМСЧ № 38 в связи с распространением новой коронавирусной инфекции (COVID-19</w:t>
      </w:r>
      <w:r w:rsidRPr="00A57B15">
        <w:rPr>
          <w:b/>
        </w:rPr>
        <w:t xml:space="preserve">) </w:t>
      </w:r>
      <w:r w:rsidRPr="00A57B15">
        <w:t>осуществлено оснащение</w:t>
      </w:r>
      <w:r w:rsidRPr="00A57B15">
        <w:rPr>
          <w:b/>
        </w:rPr>
        <w:t xml:space="preserve"> </w:t>
      </w:r>
      <w:r w:rsidRPr="00A57B15">
        <w:t>инфекционного отделения. Вирусологическая лаборатория ЦМСЧ № 38 подготовлена и выполняет тесты на COVID-2019. Здание роддома переоборудовано в инфекционное отделение №2 для приема больных новой коронавирусной инфекцией (COVID-19</w:t>
      </w:r>
      <w:r w:rsidRPr="00A57B15">
        <w:rPr>
          <w:b/>
        </w:rPr>
        <w:t>)</w:t>
      </w:r>
      <w:r w:rsidRPr="00A57B15">
        <w:t xml:space="preserve">. 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Потребности коечного фонда частично компенсируются организацией оказания специализированной медицинской помощи (прежде всего - высокотехнологичной медицинской помощи) в областных и федеральных медицинских учреждениях. Так, в</w:t>
      </w:r>
      <w:r w:rsidRPr="00A57B15">
        <w:rPr>
          <w:snapToGrid w:val="0"/>
          <w:sz w:val="24"/>
          <w:szCs w:val="24"/>
        </w:rPr>
        <w:t xml:space="preserve"> соответствии с территориальной программой </w:t>
      </w:r>
      <w:r w:rsidRPr="00A57B15">
        <w:rPr>
          <w:sz w:val="24"/>
          <w:szCs w:val="24"/>
        </w:rPr>
        <w:t xml:space="preserve">государственных гарантий бесплатного оказания гражданам медицинской помощи в Ленинградской области лечение острых форм </w:t>
      </w:r>
      <w:proofErr w:type="spellStart"/>
      <w:proofErr w:type="gramStart"/>
      <w:r w:rsidRPr="00A57B15">
        <w:rPr>
          <w:sz w:val="24"/>
          <w:szCs w:val="24"/>
        </w:rPr>
        <w:t>сердечно-сосудистых</w:t>
      </w:r>
      <w:proofErr w:type="spellEnd"/>
      <w:proofErr w:type="gramEnd"/>
      <w:r w:rsidRPr="00A57B15">
        <w:rPr>
          <w:sz w:val="24"/>
          <w:szCs w:val="24"/>
        </w:rPr>
        <w:t xml:space="preserve"> заболеваний проводится в РСЦ ГУЗ Ленинградская областная клиническая больница и в СПб ГБУЗ «Городская больница № 40». </w:t>
      </w:r>
    </w:p>
    <w:p w:rsidR="003C7EA9" w:rsidRPr="00A57B15" w:rsidRDefault="00D71D3A" w:rsidP="003C7EA9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за счет средств областного бюджета с 2016 г. функционирует кабинет спортивной медицины (в объеме 0,5 ставки спортивного врача и 0,5 ставки медицинской сестры).</w:t>
      </w:r>
    </w:p>
    <w:p w:rsidR="00D71D3A" w:rsidRPr="00A57B15" w:rsidRDefault="00D71D3A" w:rsidP="003C7EA9">
      <w:pPr>
        <w:ind w:firstLine="708"/>
        <w:jc w:val="both"/>
        <w:rPr>
          <w:snapToGrid w:val="0"/>
          <w:sz w:val="24"/>
          <w:szCs w:val="24"/>
        </w:rPr>
      </w:pPr>
      <w:r w:rsidRPr="00A57B15">
        <w:rPr>
          <w:sz w:val="24"/>
          <w:szCs w:val="24"/>
        </w:rPr>
        <w:t xml:space="preserve">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</w:t>
      </w: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на 2014 – 2025 годы». Подпрограмма «Здравоохранение Сосновоборского городского округа» направлена на получение населением города квалифицированных и бесплатных профилактических медицинских услуг, сверх </w:t>
      </w:r>
      <w:r w:rsidRPr="00A57B15">
        <w:rPr>
          <w:snapToGrid w:val="0"/>
          <w:sz w:val="24"/>
          <w:szCs w:val="24"/>
        </w:rPr>
        <w:t xml:space="preserve">территориальной программы </w:t>
      </w:r>
      <w:r w:rsidRPr="00A57B15">
        <w:rPr>
          <w:sz w:val="24"/>
          <w:szCs w:val="24"/>
        </w:rPr>
        <w:t xml:space="preserve">государственных гарантий бесплатного оказания гражданам медицинской помощи в Ленинградской области, на формирование здорового образа жизни и осуществление комплекса дополнительных мер защиты, сохранения и укрепления здоровья беременных женщин и детей. С 2017 г. в подпрограмму «Здравоохранение» включено дополнительное профилактическое мероприятие по укреплению здоровья детей – ЛФК в бассейне. В 2020 году общая сумма финансирования подпрограммы «Здравоохранение Сосновоборского городского округа» составляет 1 910,0 тыс. руб. 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Администрация Сосновоборского городского округа выступает за реализацию инвестиционного жилищного проекта ФМБА, ГК «Росатома» </w:t>
      </w:r>
      <w:r w:rsidRPr="00A57B15">
        <w:rPr>
          <w:sz w:val="24"/>
          <w:szCs w:val="24"/>
          <w:lang w:eastAsia="en-US"/>
        </w:rPr>
        <w:t xml:space="preserve">и </w:t>
      </w:r>
      <w:r w:rsidRPr="00A57B15">
        <w:rPr>
          <w:sz w:val="24"/>
          <w:szCs w:val="24"/>
        </w:rPr>
        <w:t>муниципального образования Сосновоборский городской округ с целью</w:t>
      </w:r>
      <w:r w:rsidRPr="00A57B15">
        <w:rPr>
          <w:sz w:val="24"/>
          <w:szCs w:val="24"/>
          <w:lang w:eastAsia="en-US"/>
        </w:rPr>
        <w:t xml:space="preserve"> предост</w:t>
      </w:r>
      <w:r w:rsidRPr="00A57B15">
        <w:rPr>
          <w:sz w:val="24"/>
          <w:szCs w:val="24"/>
        </w:rPr>
        <w:t xml:space="preserve">авления служебного жилья и привлечения кадров в ФГБУЗ «ЦМСЧ № 38 ФМБА России»; за координацию работы ФГБУЗ «ЦМСЧ № 38 ФМБА России»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отделений. </w:t>
      </w:r>
    </w:p>
    <w:p w:rsidR="007D5603" w:rsidRDefault="007D5603" w:rsidP="00D71D3A">
      <w:pPr>
        <w:pStyle w:val="18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1D3A" w:rsidRPr="00A57B15" w:rsidRDefault="00D71D3A" w:rsidP="00D71D3A">
      <w:pPr>
        <w:pStyle w:val="18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7B15">
        <w:rPr>
          <w:rFonts w:ascii="Times New Roman" w:hAnsi="Times New Roman"/>
          <w:b/>
          <w:bCs/>
          <w:sz w:val="24"/>
          <w:szCs w:val="24"/>
        </w:rPr>
        <w:t>Прогноз на 2021-2023 годы</w:t>
      </w:r>
    </w:p>
    <w:p w:rsidR="00D71D3A" w:rsidRPr="00A57B15" w:rsidRDefault="00D71D3A" w:rsidP="00D71D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Для достижения цели, стоящей перед администрацией Сосновоборского городского округа – совершенствование системы и оказание мер медико-социальной поддержки отдельных категорий граждан - необходимо решить ряд задач в сфере здравоохранения, особенно актуальных в указанный период времени, характеризующийся дефицитом кадрового состава и необходимостью развития специализированной медицинской помощи в </w:t>
      </w:r>
      <w:r w:rsidRPr="00A57B15">
        <w:rPr>
          <w:rFonts w:ascii="Times New Roman" w:hAnsi="Times New Roman"/>
          <w:sz w:val="24"/>
          <w:szCs w:val="24"/>
        </w:rPr>
        <w:t>ФГБУЗ «ЦМСЧ № 38 ФМБА России»</w:t>
      </w:r>
      <w:r w:rsidRPr="00A57B15">
        <w:rPr>
          <w:rFonts w:ascii="Times New Roman" w:hAnsi="Times New Roman" w:cs="Times New Roman"/>
          <w:sz w:val="24"/>
          <w:szCs w:val="24"/>
        </w:rPr>
        <w:t>:</w:t>
      </w:r>
    </w:p>
    <w:p w:rsidR="00D71D3A" w:rsidRPr="00A57B15" w:rsidRDefault="00D71D3A" w:rsidP="00D71D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1. Обеспечение населения Сосновоборского городского округа доступными и бесплатными профилактическими медицинскими услугами в рамках первичной медико-санитарной помощи по направлениям, не финансируемым из средств обязательного </w:t>
      </w:r>
      <w:r w:rsidRPr="00A57B15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страхования, федерального бюджета и медицинскими препаратами из перечня дополнительного лекарственного обеспечения.</w:t>
      </w:r>
    </w:p>
    <w:p w:rsidR="00D71D3A" w:rsidRPr="00A57B15" w:rsidRDefault="00D71D3A" w:rsidP="00D71D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2. Проведение мероприятий, направленных на формирование здорового образа жизни.</w:t>
      </w:r>
    </w:p>
    <w:p w:rsidR="00D71D3A" w:rsidRPr="00A57B15" w:rsidRDefault="00D71D3A" w:rsidP="00D71D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3. Создание комплекса дополнительных мер, направленных на защиту, сохранение и укрепление здоровья беременных женщин и детей.</w:t>
      </w:r>
    </w:p>
    <w:p w:rsidR="00D71D3A" w:rsidRPr="00A57B15" w:rsidRDefault="00D71D3A" w:rsidP="00D71D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Решение этих задач планируется в рамках реализации подпрограммы «Здравоохранение Сосновоборского городского округа» муниципальной программы «Медико-социальная поддержка отдельных категорий граждан в Сосновоборском городском округе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hAnsi="Times New Roman" w:cs="Times New Roman"/>
          <w:sz w:val="24"/>
          <w:szCs w:val="24"/>
        </w:rPr>
        <w:t>на 2014-2025 годы».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Основные направления работы в сфере здравоохранения в 2021-2023 годах: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- повышение доступности и качества медицинской помощи;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- охрана здоровья матери и ребенка;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- сохранение и укрепление здоровья населения, увеличение роли профилактики заболеваний и формирование здорового образа жизни;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- развитие системы предоставления медико-социальной помощи, оказываемой пожилому населению, координация взаимодействия системы здравоохранения с системой социальной защиты,</w:t>
      </w:r>
    </w:p>
    <w:p w:rsidR="00D71D3A" w:rsidRPr="00A57B15" w:rsidRDefault="00D71D3A" w:rsidP="00D71D3A">
      <w:pPr>
        <w:pStyle w:val="a7"/>
        <w:ind w:firstLine="708"/>
        <w:rPr>
          <w:szCs w:val="24"/>
        </w:rPr>
      </w:pPr>
      <w:r w:rsidRPr="00A57B15">
        <w:rPr>
          <w:szCs w:val="24"/>
        </w:rPr>
        <w:t>- профилактика распространения новой коронавирусной инфекции (COVID-2019</w:t>
      </w:r>
      <w:r w:rsidRPr="00A57B15">
        <w:rPr>
          <w:b/>
          <w:szCs w:val="24"/>
        </w:rPr>
        <w:t>).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На 2021 год в составе ФГБУЗ «ЦМСЧ № 38 ФМБА России» две поликлиники – взрослая и детская – на 1 092 посещения в смену; стационар на 261 круглосуточную койку, стационар дневного пребывания – 63 койки (отделения дневного стационара имеются в поликлинике и в стационаре), численность медработников порядка 1200 человек, в том числе 208 врачей, 461 человек - средний медицинский персонал.</w:t>
      </w:r>
      <w:proofErr w:type="gramEnd"/>
      <w:r w:rsidRPr="00A57B15">
        <w:rPr>
          <w:sz w:val="24"/>
          <w:szCs w:val="24"/>
        </w:rPr>
        <w:t xml:space="preserve"> На 2021 и 2022 годы планируется сохранение существующей структуры и восполнение дефицита кадров. </w:t>
      </w:r>
    </w:p>
    <w:p w:rsidR="00D71D3A" w:rsidRPr="00A57B15" w:rsidRDefault="00D71D3A" w:rsidP="00D71D3A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Для привлечения на работу медицинских, в т.ч. высококвалифицированных кадров в ФГБУЗ «ЦМСЧ № 38 ФМБА России» предполагается предоставление служебного жилья, в качестве решения возможен инвестиционный проект ФМБА, ГК «Росатом» </w:t>
      </w:r>
      <w:proofErr w:type="spellStart"/>
      <w:r w:rsidRPr="00A57B15">
        <w:rPr>
          <w:sz w:val="24"/>
          <w:szCs w:val="24"/>
        </w:rPr>
        <w:t>имуниципального</w:t>
      </w:r>
      <w:proofErr w:type="spellEnd"/>
      <w:r w:rsidRPr="00A57B15">
        <w:rPr>
          <w:sz w:val="24"/>
          <w:szCs w:val="24"/>
        </w:rPr>
        <w:t xml:space="preserve"> образования Сосновоборский городской округ.</w:t>
      </w:r>
    </w:p>
    <w:p w:rsidR="00D71D3A" w:rsidRPr="00A57B15" w:rsidRDefault="00D71D3A" w:rsidP="00CF77B3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Планируется дальнейшая работа по улучшению демографической ситуации в Сосновоборском городском округе в полном объеме в соответствии с утвержденным Планом мероприятий.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D71D3A" w:rsidRPr="00A57B15" w:rsidTr="00DB6C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A" w:rsidRPr="00A57B15" w:rsidRDefault="00D71D3A" w:rsidP="00D71D3A">
            <w:pPr>
              <w:pStyle w:val="a7"/>
              <w:keepNext/>
              <w:rPr>
                <w:b/>
                <w:bCs/>
                <w:szCs w:val="24"/>
              </w:rPr>
            </w:pPr>
            <w:r w:rsidRPr="00A57B15">
              <w:rPr>
                <w:b/>
                <w:bCs/>
                <w:szCs w:val="24"/>
              </w:rPr>
              <w:t>Основные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A" w:rsidRPr="00A57B15" w:rsidRDefault="00D71D3A" w:rsidP="00D71D3A">
            <w:pPr>
              <w:pStyle w:val="a7"/>
              <w:keepNext/>
              <w:rPr>
                <w:b/>
                <w:bCs/>
                <w:szCs w:val="24"/>
              </w:rPr>
            </w:pPr>
            <w:r w:rsidRPr="00A57B15">
              <w:rPr>
                <w:b/>
                <w:bCs/>
                <w:szCs w:val="24"/>
              </w:rPr>
              <w:t>Предполагаемые пути решения</w:t>
            </w:r>
          </w:p>
        </w:tc>
      </w:tr>
      <w:tr w:rsidR="00D71D3A" w:rsidRPr="00A57B15" w:rsidTr="00DB6C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A" w:rsidRPr="00A57B15" w:rsidRDefault="00D71D3A" w:rsidP="00D71D3A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Кадровое обеспечение медицинских организаций, оказывающих первичную медико-санитарную помощь. Недостаток молодых специалистов, высокий процент лиц пенсионного и предпенсионного возраста в медицине. Низкий уровень обеспечения жильем медперсонала.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3A" w:rsidRPr="00A57B15" w:rsidRDefault="00D71D3A" w:rsidP="003C7EA9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 Инициирование законодательного закрепления полномочий обязывать выпускников ВУЗов, обучающихся по целевым направлениям ФМБА, трудоустраиваться на определенный срок в ФГБУЗ «ЦМСЧ № 38 ФМБА России». </w:t>
            </w:r>
          </w:p>
          <w:p w:rsidR="00D71D3A" w:rsidRPr="00A57B15" w:rsidRDefault="00D71D3A" w:rsidP="003C7EA9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 Участие муниципального образования Сосновоборский городской округ, ФМБА и </w:t>
            </w:r>
            <w:r w:rsidR="003600A3">
              <w:rPr>
                <w:sz w:val="24"/>
                <w:szCs w:val="24"/>
              </w:rPr>
              <w:t xml:space="preserve">ГК </w:t>
            </w:r>
            <w:r w:rsidRPr="00A57B15">
              <w:rPr>
                <w:sz w:val="24"/>
                <w:szCs w:val="24"/>
              </w:rPr>
              <w:t>«Росатом» в совместном инвестиционном проекте по строительству доступного жилья.</w:t>
            </w:r>
          </w:p>
        </w:tc>
      </w:tr>
    </w:tbl>
    <w:p w:rsidR="009C4AF0" w:rsidRPr="00A57B15" w:rsidRDefault="009C4AF0" w:rsidP="00D71D3A">
      <w:pPr>
        <w:pStyle w:val="aff3"/>
        <w:ind w:left="0"/>
        <w:jc w:val="both"/>
      </w:pPr>
    </w:p>
    <w:p w:rsidR="00A00FD3" w:rsidRPr="00A57B15" w:rsidRDefault="00A00FD3" w:rsidP="00D71D3A">
      <w:pPr>
        <w:pStyle w:val="aff3"/>
        <w:ind w:left="0"/>
        <w:jc w:val="both"/>
      </w:pPr>
    </w:p>
    <w:p w:rsidR="009C4AF0" w:rsidRPr="00A57B15" w:rsidRDefault="009C4AF0" w:rsidP="00B43A07">
      <w:pPr>
        <w:pStyle w:val="2"/>
        <w:rPr>
          <w:color w:val="auto"/>
        </w:rPr>
      </w:pPr>
      <w:bookmarkStart w:id="51" w:name="_Toc16152565"/>
      <w:bookmarkStart w:id="52" w:name="_Toc52186987"/>
      <w:r w:rsidRPr="00A57B15">
        <w:rPr>
          <w:color w:val="auto"/>
        </w:rPr>
        <w:t>6.3. Социальная защита населения</w:t>
      </w:r>
      <w:bookmarkEnd w:id="45"/>
      <w:bookmarkEnd w:id="46"/>
      <w:bookmarkEnd w:id="47"/>
      <w:bookmarkEnd w:id="48"/>
      <w:bookmarkEnd w:id="49"/>
      <w:bookmarkEnd w:id="51"/>
      <w:bookmarkEnd w:id="52"/>
    </w:p>
    <w:p w:rsidR="009C4AF0" w:rsidRPr="00A57B15" w:rsidRDefault="009C4AF0" w:rsidP="009C4AF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bookmarkStart w:id="53" w:name="_Toc270930060"/>
      <w:bookmarkEnd w:id="50"/>
    </w:p>
    <w:p w:rsidR="00D61F89" w:rsidRPr="00A57B15" w:rsidRDefault="00D61F89" w:rsidP="00D61F89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D61F89" w:rsidRPr="00A57B15" w:rsidRDefault="00D61F89" w:rsidP="00D61F89">
      <w:pPr>
        <w:pStyle w:val="a7"/>
        <w:ind w:firstLine="709"/>
        <w:rPr>
          <w:szCs w:val="24"/>
        </w:rPr>
      </w:pPr>
      <w:proofErr w:type="gramStart"/>
      <w:r w:rsidRPr="00A57B15">
        <w:rPr>
          <w:szCs w:val="24"/>
        </w:rPr>
        <w:t>На основании решения совета депутатов муниципального образования Сосновоборский городской округ Ленинградской области от 20.06.2018 № 110 «О внесении изменений в решение совета депутатов Сосновоборского городского округа от 27.01.2010 г. № 1 «Об утверждении структуры администрации муниципального образования Сосновоборский городской округ Ленинградской области» отдел социальных программ администрации  осуществляет мероприятия</w:t>
      </w:r>
      <w:r w:rsidRPr="00A57B15">
        <w:rPr>
          <w:i/>
          <w:szCs w:val="24"/>
        </w:rPr>
        <w:t xml:space="preserve"> </w:t>
      </w:r>
      <w:r w:rsidRPr="00A57B15">
        <w:rPr>
          <w:szCs w:val="24"/>
        </w:rPr>
        <w:t xml:space="preserve">по решению вопросов в сфере социальной </w:t>
      </w:r>
      <w:r w:rsidRPr="00A57B15">
        <w:rPr>
          <w:szCs w:val="24"/>
        </w:rPr>
        <w:lastRenderedPageBreak/>
        <w:t>защиты населения и здравоохранения.</w:t>
      </w:r>
      <w:proofErr w:type="gramEnd"/>
      <w:r w:rsidRPr="00A57B15">
        <w:rPr>
          <w:szCs w:val="24"/>
        </w:rPr>
        <w:t xml:space="preserve"> В систему социального обслуживания населения Сосновоборского городского округа входят филиал областного казенного учреждения «Центр социальной защиты населения» (ЛОГКУ «ЦСЗН») и учреждение областного подчинения ЛОГАУ «Сосновоборский комплексный центра социального обслуживания населения» (далее – ЛОГАУ «Сосновоборский КЦСОН»). </w:t>
      </w:r>
    </w:p>
    <w:p w:rsidR="00D61F89" w:rsidRPr="00A57B15" w:rsidRDefault="00D61F89" w:rsidP="00D61F89">
      <w:pPr>
        <w:pStyle w:val="a7"/>
        <w:ind w:firstLine="709"/>
        <w:rPr>
          <w:szCs w:val="24"/>
        </w:rPr>
      </w:pPr>
      <w:proofErr w:type="gramStart"/>
      <w:r w:rsidRPr="00A57B15">
        <w:rPr>
          <w:szCs w:val="24"/>
        </w:rPr>
        <w:t xml:space="preserve">В связи с высокой </w:t>
      </w:r>
      <w:proofErr w:type="spellStart"/>
      <w:r w:rsidRPr="00A57B15">
        <w:rPr>
          <w:szCs w:val="24"/>
        </w:rPr>
        <w:t>востребованностью</w:t>
      </w:r>
      <w:proofErr w:type="spellEnd"/>
      <w:r w:rsidRPr="00A57B15">
        <w:rPr>
          <w:szCs w:val="24"/>
        </w:rPr>
        <w:t xml:space="preserve">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в Сосновоборском городском округе на 2014-2025 годы». </w:t>
      </w:r>
      <w:proofErr w:type="gramEnd"/>
    </w:p>
    <w:p w:rsidR="00D61F89" w:rsidRPr="00A57B15" w:rsidRDefault="00D61F89" w:rsidP="00D61F89">
      <w:pPr>
        <w:pStyle w:val="a7"/>
        <w:ind w:firstLine="709"/>
        <w:rPr>
          <w:szCs w:val="24"/>
        </w:rPr>
      </w:pPr>
      <w:r w:rsidRPr="00A57B15">
        <w:rPr>
          <w:szCs w:val="24"/>
        </w:rPr>
        <w:t>В 2020 году планируется выполнение муниципальной программы «Медико-социальная поддержка отдельных категорий граждан в Сосновоборском городском округе на 2014-2025 годы»</w:t>
      </w:r>
      <w:r w:rsidRPr="00A57B15">
        <w:rPr>
          <w:bCs/>
          <w:szCs w:val="24"/>
        </w:rPr>
        <w:t xml:space="preserve"> на о</w:t>
      </w:r>
      <w:r w:rsidRPr="00A57B15">
        <w:rPr>
          <w:szCs w:val="24"/>
        </w:rPr>
        <w:t xml:space="preserve">бщую сумму 14 316,867 тыс. руб. </w:t>
      </w:r>
      <w:r w:rsidRPr="00A57B15">
        <w:rPr>
          <w:rFonts w:eastAsia="Calibri"/>
          <w:szCs w:val="24"/>
          <w:lang w:eastAsia="en-US"/>
        </w:rPr>
        <w:t>Муниципальная программа</w:t>
      </w:r>
      <w:r w:rsidRPr="00A57B15">
        <w:rPr>
          <w:szCs w:val="24"/>
        </w:rPr>
        <w:t xml:space="preserve"> </w:t>
      </w:r>
      <w:r w:rsidRPr="00A57B15">
        <w:rPr>
          <w:rFonts w:eastAsia="Calibri"/>
          <w:szCs w:val="24"/>
          <w:lang w:eastAsia="en-US"/>
        </w:rPr>
        <w:t xml:space="preserve">состоит из 5 подпрограмм: «Защита», «Организация работы с детьми, находящимися в социально опасном положении, в Сосновоборском городском округе», «Формирование доступной среды жизнедеятельности для инвалидов и других </w:t>
      </w:r>
      <w:proofErr w:type="spellStart"/>
      <w:r w:rsidRPr="00A57B15">
        <w:rPr>
          <w:rFonts w:eastAsia="Calibri"/>
          <w:szCs w:val="24"/>
          <w:lang w:eastAsia="en-US"/>
        </w:rPr>
        <w:t>маломобильных</w:t>
      </w:r>
      <w:proofErr w:type="spellEnd"/>
      <w:r w:rsidRPr="00A57B15">
        <w:rPr>
          <w:rFonts w:eastAsia="Calibri"/>
          <w:szCs w:val="24"/>
          <w:lang w:eastAsia="en-US"/>
        </w:rPr>
        <w:t xml:space="preserve"> групп населения в Сосновоборском городском округе», «Здравоохранение», «Развитие мер социальной поддержки отдельных категорий граждан».</w:t>
      </w:r>
      <w:r w:rsidRPr="00A57B15">
        <w:rPr>
          <w:szCs w:val="24"/>
        </w:rPr>
        <w:t xml:space="preserve"> </w:t>
      </w:r>
    </w:p>
    <w:p w:rsidR="00D61F89" w:rsidRPr="00A57B15" w:rsidRDefault="00D61F89" w:rsidP="00D61F89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Все учреждения здравоохранения и социального обслуживания оборудованы пандусами в соответствии требованиям для лиц с ограниченными возможностями. </w:t>
      </w:r>
    </w:p>
    <w:p w:rsidR="00D61F89" w:rsidRPr="00A57B15" w:rsidRDefault="00D61F89" w:rsidP="00D61F89">
      <w:pPr>
        <w:pStyle w:val="ConsPlusCel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57B15">
        <w:rPr>
          <w:rFonts w:ascii="Times New Roman" w:eastAsia="Calibri" w:hAnsi="Times New Roman"/>
          <w:sz w:val="24"/>
          <w:szCs w:val="24"/>
        </w:rPr>
        <w:t>По подпрограмме 5 «Развитие мер социальной поддержки отдельных категорий граждан» осуществляется, в том числе финансирование уставной деятельности общественных организаций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eastAsia="Calibri" w:hAnsi="Times New Roman"/>
          <w:sz w:val="24"/>
          <w:szCs w:val="24"/>
        </w:rPr>
        <w:t xml:space="preserve">Сосновоборского городского округа, а именно: Сосновоборской городской организации ЛООО "Всероссийское общество инвалидов", городской совет ветеранов войны, труда и правоохранительных органов, </w:t>
      </w:r>
      <w:proofErr w:type="spellStart"/>
      <w:r w:rsidRPr="00A57B15">
        <w:rPr>
          <w:rFonts w:ascii="Times New Roman" w:eastAsia="Calibri" w:hAnsi="Times New Roman"/>
          <w:sz w:val="24"/>
          <w:szCs w:val="24"/>
        </w:rPr>
        <w:t>Ручьевский</w:t>
      </w:r>
      <w:proofErr w:type="spellEnd"/>
      <w:r w:rsidRPr="00A57B15">
        <w:rPr>
          <w:rFonts w:ascii="Times New Roman" w:eastAsia="Calibri" w:hAnsi="Times New Roman"/>
          <w:sz w:val="24"/>
          <w:szCs w:val="24"/>
        </w:rPr>
        <w:t xml:space="preserve"> филиал Всероссийского общества слепых (ВОС), Сосновоборское отделение Ленинградского областного отделения Общероссийской общественной организации инвалидов Союз "Чернобыль" России.</w:t>
      </w:r>
    </w:p>
    <w:p w:rsidR="00D61F89" w:rsidRPr="00A57B15" w:rsidRDefault="00D61F89" w:rsidP="00D61F89">
      <w:pPr>
        <w:pStyle w:val="ConsPlusCel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57B15">
        <w:rPr>
          <w:rFonts w:ascii="Times New Roman" w:eastAsia="Calibri" w:hAnsi="Times New Roman"/>
          <w:sz w:val="24"/>
          <w:szCs w:val="24"/>
        </w:rPr>
        <w:t>Отделом социальных программ администрации организуются праздничные мероприятия, посвященные международному Дню пожилого человека, международному Дню инвалида, Новому году и т.п.</w:t>
      </w:r>
    </w:p>
    <w:p w:rsidR="00D61F89" w:rsidRPr="00A57B15" w:rsidRDefault="00D61F89" w:rsidP="00D61F89">
      <w:pPr>
        <w:pStyle w:val="31"/>
        <w:spacing w:after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социальное обслуживание населения предоставлено на базе ЛОГАУ «Сосновоборский КЦСОН»: на отделении социальной помощи на дому; на круглосуточном отделении (</w:t>
      </w:r>
      <w:r w:rsidRPr="00A57B15">
        <w:rPr>
          <w:bCs/>
          <w:sz w:val="24"/>
          <w:szCs w:val="24"/>
        </w:rPr>
        <w:t>стационарная форма социальных услуг с временным проживанием),</w:t>
      </w:r>
      <w:r w:rsidRPr="00A57B15">
        <w:rPr>
          <w:sz w:val="24"/>
          <w:szCs w:val="24"/>
        </w:rPr>
        <w:t xml:space="preserve"> дневном отделении</w:t>
      </w:r>
      <w:r w:rsidRPr="00A57B15">
        <w:rPr>
          <w:bCs/>
          <w:sz w:val="24"/>
          <w:szCs w:val="24"/>
        </w:rPr>
        <w:t xml:space="preserve"> (</w:t>
      </w:r>
      <w:proofErr w:type="spellStart"/>
      <w:r w:rsidRPr="00A57B15">
        <w:rPr>
          <w:bCs/>
          <w:sz w:val="24"/>
          <w:szCs w:val="24"/>
        </w:rPr>
        <w:t>полустационарная</w:t>
      </w:r>
      <w:proofErr w:type="spellEnd"/>
      <w:r w:rsidRPr="00A57B15">
        <w:rPr>
          <w:bCs/>
          <w:sz w:val="24"/>
          <w:szCs w:val="24"/>
        </w:rPr>
        <w:t xml:space="preserve"> форма социальных услуг в отделениях  дневного пребывания);</w:t>
      </w:r>
      <w:r w:rsidRPr="00A57B15">
        <w:rPr>
          <w:sz w:val="24"/>
          <w:szCs w:val="24"/>
        </w:rPr>
        <w:t xml:space="preserve"> услуги, предоставляемые детям-инвалидам в </w:t>
      </w:r>
      <w:proofErr w:type="spellStart"/>
      <w:r w:rsidRPr="00A57B15">
        <w:rPr>
          <w:sz w:val="24"/>
          <w:szCs w:val="24"/>
        </w:rPr>
        <w:t>полустационарной</w:t>
      </w:r>
      <w:proofErr w:type="spellEnd"/>
      <w:r w:rsidRPr="00A57B15">
        <w:rPr>
          <w:sz w:val="24"/>
          <w:szCs w:val="24"/>
        </w:rPr>
        <w:t xml:space="preserve"> форме социального обслуживания; </w:t>
      </w:r>
      <w:r w:rsidRPr="00A57B15">
        <w:rPr>
          <w:bCs/>
          <w:sz w:val="24"/>
          <w:szCs w:val="24"/>
        </w:rPr>
        <w:t>услуги, предоставляемые родителям (законным представителям) несовершеннолетних детей, если родители (законные представители) и (или) их дети признаны нуждающимися в социальном обслуживании</w:t>
      </w:r>
      <w:r w:rsidRPr="00A57B15">
        <w:rPr>
          <w:sz w:val="24"/>
          <w:szCs w:val="24"/>
        </w:rPr>
        <w:t>; в группах дневного пребывания несовершеннолетних (</w:t>
      </w:r>
      <w:proofErr w:type="spellStart"/>
      <w:r w:rsidRPr="00A57B15">
        <w:rPr>
          <w:sz w:val="24"/>
          <w:szCs w:val="24"/>
        </w:rPr>
        <w:t>полустационарная</w:t>
      </w:r>
      <w:proofErr w:type="spellEnd"/>
      <w:r w:rsidRPr="00A57B15">
        <w:rPr>
          <w:sz w:val="24"/>
          <w:szCs w:val="24"/>
        </w:rPr>
        <w:t xml:space="preserve"> форма социального обслуживания); в отделении временного пребывания несовершеннолетних (</w:t>
      </w:r>
      <w:r w:rsidRPr="00A57B15">
        <w:rPr>
          <w:bCs/>
          <w:sz w:val="24"/>
          <w:szCs w:val="24"/>
        </w:rPr>
        <w:t>стационарная форма социальных услуг с временным проживанием)</w:t>
      </w:r>
      <w:r w:rsidRPr="00A57B15">
        <w:rPr>
          <w:sz w:val="24"/>
          <w:szCs w:val="24"/>
        </w:rPr>
        <w:t>.</w:t>
      </w:r>
    </w:p>
    <w:p w:rsidR="00D61F89" w:rsidRPr="00A57B15" w:rsidRDefault="00D61F89" w:rsidP="00D61F89">
      <w:pPr>
        <w:pStyle w:val="31"/>
        <w:spacing w:after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сфере модернизации системы оказания социальной помощи населению осуществляется:</w:t>
      </w:r>
    </w:p>
    <w:p w:rsidR="00D61F89" w:rsidRPr="00A57B15" w:rsidRDefault="00D61F89" w:rsidP="00D61F89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оптимизация административных регламентов путем увеличения межведомственного взаимодействия для получения информации, необходимой при оказании муниципальных услуг;</w:t>
      </w:r>
    </w:p>
    <w:p w:rsidR="00D61F89" w:rsidRPr="00A57B15" w:rsidRDefault="00D61F89" w:rsidP="00D61F89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реализация областного закона от 17.11.2017 N 72-оз "Социальный кодекс Ленинградской области».</w:t>
      </w:r>
    </w:p>
    <w:p w:rsidR="007D5603" w:rsidRDefault="007D5603" w:rsidP="00D61F89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D61F89" w:rsidRPr="00A57B15" w:rsidRDefault="00D61F89" w:rsidP="00D61F89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</w:t>
      </w:r>
    </w:p>
    <w:p w:rsidR="00D61F89" w:rsidRPr="00A57B15" w:rsidRDefault="00D61F89" w:rsidP="00D61F89">
      <w:pPr>
        <w:pStyle w:val="ConsPlusCell"/>
        <w:ind w:firstLine="708"/>
        <w:jc w:val="both"/>
        <w:rPr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Повышение качества муниципальных услуг, повышение уровня и качества жизни населения Сосновоборского городского округа Ленинградской области. Решение этих задач планируется в рамках реализации муниципальной программы «Медико-социальная </w:t>
      </w:r>
      <w:r w:rsidRPr="00A57B15">
        <w:rPr>
          <w:rFonts w:ascii="Times New Roman" w:hAnsi="Times New Roman" w:cs="Times New Roman"/>
          <w:sz w:val="24"/>
          <w:szCs w:val="24"/>
        </w:rPr>
        <w:lastRenderedPageBreak/>
        <w:t>поддержка отдельных категорий граждан в Сосновоборском городском округе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hAnsi="Times New Roman" w:cs="Times New Roman"/>
          <w:sz w:val="24"/>
          <w:szCs w:val="24"/>
        </w:rPr>
        <w:t>на 2014-2025 годы».</w:t>
      </w:r>
    </w:p>
    <w:p w:rsidR="009C4AF0" w:rsidRPr="00A57B15" w:rsidRDefault="009C4AF0" w:rsidP="009C4AF0">
      <w:pPr>
        <w:rPr>
          <w:sz w:val="24"/>
          <w:szCs w:val="24"/>
        </w:rPr>
      </w:pPr>
    </w:p>
    <w:p w:rsidR="00A00FD3" w:rsidRPr="00A57B15" w:rsidRDefault="00A00FD3" w:rsidP="009C4AF0">
      <w:pPr>
        <w:rPr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54" w:name="_Toc16152566"/>
      <w:bookmarkStart w:id="55" w:name="_Toc52186988"/>
      <w:r w:rsidRPr="00A57B15">
        <w:rPr>
          <w:color w:val="auto"/>
        </w:rPr>
        <w:t>6.4. Культура</w:t>
      </w:r>
      <w:bookmarkEnd w:id="53"/>
      <w:bookmarkEnd w:id="54"/>
      <w:bookmarkEnd w:id="55"/>
    </w:p>
    <w:p w:rsidR="009C4AF0" w:rsidRPr="00A57B15" w:rsidRDefault="009C4AF0" w:rsidP="009C4AF0">
      <w:pPr>
        <w:keepNext/>
        <w:ind w:firstLine="709"/>
        <w:rPr>
          <w:b/>
          <w:sz w:val="24"/>
          <w:szCs w:val="24"/>
        </w:rPr>
      </w:pPr>
      <w:bookmarkStart w:id="56" w:name="_Toc270930061"/>
    </w:p>
    <w:p w:rsidR="00685E11" w:rsidRPr="00A57B15" w:rsidRDefault="00685E11" w:rsidP="00685E11">
      <w:pPr>
        <w:ind w:firstLine="708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Ожидаемые итоги 2020 года.</w:t>
      </w:r>
    </w:p>
    <w:p w:rsidR="00685E11" w:rsidRPr="00A57B15" w:rsidRDefault="00685E11" w:rsidP="00F9605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Сеть муниципальных учреждений культуры в 2020 году останется без изменений - 10 учреждений,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значения. </w:t>
      </w:r>
    </w:p>
    <w:p w:rsidR="00685E11" w:rsidRPr="00A57B15" w:rsidRDefault="00685E11" w:rsidP="00F96056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Количество сотрудников учреждений имеющих награды не изменится. В 2020 году 15 работников культуры будут иметь звание «Заслуженный работник культуры Российской Федерации», 11 имеют нагрудный знак Министерства культуры Российской Федерации. Количество творческих коллективов, имеющих звание «Народный» и «Образцовый», не изменится и составит 27 коллективов.</w:t>
      </w:r>
    </w:p>
    <w:p w:rsidR="00685E11" w:rsidRPr="00A57B15" w:rsidRDefault="00685E11" w:rsidP="00F96056">
      <w:pPr>
        <w:ind w:firstLine="709"/>
        <w:jc w:val="both"/>
        <w:rPr>
          <w:bCs/>
          <w:sz w:val="24"/>
          <w:szCs w:val="24"/>
        </w:rPr>
      </w:pPr>
      <w:r w:rsidRPr="00A57B15">
        <w:rPr>
          <w:sz w:val="24"/>
          <w:szCs w:val="24"/>
        </w:rPr>
        <w:t>Ожидаемая среднесписочная численность работников за 2020 год составит 304 человека, что на 31 человека меньше фактической численности за 2019 год.</w:t>
      </w:r>
    </w:p>
    <w:p w:rsidR="00685E11" w:rsidRPr="00A57B15" w:rsidRDefault="00685E11" w:rsidP="00F96056">
      <w:pPr>
        <w:pStyle w:val="a7"/>
        <w:ind w:firstLine="708"/>
        <w:rPr>
          <w:szCs w:val="24"/>
        </w:rPr>
      </w:pPr>
      <w:r w:rsidRPr="00A57B15">
        <w:rPr>
          <w:szCs w:val="24"/>
        </w:rPr>
        <w:t xml:space="preserve">В 2020 году населению будут предложены услуги общероссийского и регионального ведомственного перечня работ и </w:t>
      </w:r>
      <w:r w:rsidR="0036517E" w:rsidRPr="00A57B15">
        <w:rPr>
          <w:szCs w:val="24"/>
        </w:rPr>
        <w:t>услуг. Изменений</w:t>
      </w:r>
      <w:r w:rsidRPr="00A57B15">
        <w:rPr>
          <w:szCs w:val="24"/>
        </w:rPr>
        <w:t xml:space="preserve"> объема и качества предоставляемых услуг в 2020 году в сравнении с 2019 годом не предвидится.</w:t>
      </w:r>
    </w:p>
    <w:p w:rsidR="003C7EA9" w:rsidRPr="00A57B15" w:rsidRDefault="00685E11" w:rsidP="006F3112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Функционирование отрасли в 2020 году будет осуществляться в соответствии с Муниципальн</w:t>
      </w:r>
      <w:r w:rsidR="006F3112">
        <w:rPr>
          <w:sz w:val="24"/>
          <w:szCs w:val="24"/>
        </w:rPr>
        <w:t>ой программой «Развитие культуры</w:t>
      </w:r>
      <w:r w:rsidRPr="00A57B15">
        <w:rPr>
          <w:sz w:val="24"/>
          <w:szCs w:val="24"/>
        </w:rPr>
        <w:t xml:space="preserve"> Сосновоборского городского округа на 2019-2024 годы», которая включает в себя пять подпрограмм:</w:t>
      </w:r>
    </w:p>
    <w:p w:rsidR="00685E11" w:rsidRPr="00A57B15" w:rsidRDefault="00685E11" w:rsidP="006F3112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1. «Библиотечное обслуживание и популяризация чтения»;</w:t>
      </w:r>
    </w:p>
    <w:p w:rsidR="00685E11" w:rsidRPr="00A57B15" w:rsidRDefault="00685E11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2. «Сохранение и охрана культурного и исторического наследия Сосновоборского городского округа»;</w:t>
      </w:r>
    </w:p>
    <w:p w:rsidR="00685E11" w:rsidRPr="00A57B15" w:rsidRDefault="00685E11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3. «Музейная деятельность»;</w:t>
      </w:r>
    </w:p>
    <w:p w:rsidR="00685E11" w:rsidRPr="00A57B15" w:rsidRDefault="00685E11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 xml:space="preserve">4. «Профессиональное искусство, народное творчество и </w:t>
      </w:r>
      <w:proofErr w:type="spellStart"/>
      <w:r w:rsidRPr="00A57B15">
        <w:rPr>
          <w:sz w:val="24"/>
        </w:rPr>
        <w:t>культурно-досуговая</w:t>
      </w:r>
      <w:proofErr w:type="spellEnd"/>
      <w:r w:rsidRPr="00A57B15">
        <w:rPr>
          <w:sz w:val="24"/>
        </w:rPr>
        <w:t xml:space="preserve"> деятельность»;</w:t>
      </w:r>
    </w:p>
    <w:p w:rsidR="00685E11" w:rsidRPr="00A57B15" w:rsidRDefault="00685E11" w:rsidP="006F3112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5. «Обеспечение реализации муниципальной программы».</w:t>
      </w:r>
    </w:p>
    <w:p w:rsidR="00685E11" w:rsidRPr="00A57B15" w:rsidRDefault="00685E11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Работа в рамках вышеуказанной муниципальной программы позволит:</w:t>
      </w:r>
    </w:p>
    <w:p w:rsidR="00685E11" w:rsidRPr="00A57B15" w:rsidRDefault="003C7EA9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-</w:t>
      </w:r>
      <w:r w:rsidR="00685E11" w:rsidRPr="00A57B15">
        <w:rPr>
          <w:sz w:val="24"/>
        </w:rPr>
        <w:t>сохранить количество посещений Сосновоборской библиотеки;</w:t>
      </w:r>
    </w:p>
    <w:p w:rsidR="00685E11" w:rsidRPr="00A57B15" w:rsidRDefault="003C7EA9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-</w:t>
      </w:r>
      <w:r w:rsidR="00685E11" w:rsidRPr="00A57B15">
        <w:rPr>
          <w:sz w:val="24"/>
        </w:rPr>
        <w:t>сохранить долю объектов культурного наследия, находящихся в собственности Сосновоборского городского округа, состояние которых является удовлетворительным;</w:t>
      </w:r>
    </w:p>
    <w:p w:rsidR="00685E11" w:rsidRPr="00A57B15" w:rsidRDefault="003C7EA9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-</w:t>
      </w:r>
      <w:r w:rsidR="00685E11" w:rsidRPr="00A57B15">
        <w:rPr>
          <w:sz w:val="24"/>
        </w:rPr>
        <w:t>увеличить количество посещений Сосновоборского муниципального музея;</w:t>
      </w:r>
    </w:p>
    <w:p w:rsidR="00685E11" w:rsidRPr="00A57B15" w:rsidRDefault="003C7EA9" w:rsidP="006F3112">
      <w:pPr>
        <w:pStyle w:val="1a"/>
        <w:ind w:firstLine="708"/>
        <w:rPr>
          <w:sz w:val="24"/>
        </w:rPr>
      </w:pPr>
      <w:r w:rsidRPr="00A57B15">
        <w:rPr>
          <w:sz w:val="24"/>
        </w:rPr>
        <w:t>-</w:t>
      </w:r>
      <w:r w:rsidR="00685E11" w:rsidRPr="00A57B15">
        <w:rPr>
          <w:sz w:val="24"/>
        </w:rPr>
        <w:t>сохранить  количество посещений культурно-массовых мероприятий;</w:t>
      </w:r>
    </w:p>
    <w:p w:rsidR="00685E11" w:rsidRPr="00A57B15" w:rsidRDefault="003C7EA9" w:rsidP="006F3112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</w:t>
      </w:r>
      <w:r w:rsidR="00685E11" w:rsidRPr="00A57B15">
        <w:rPr>
          <w:sz w:val="24"/>
          <w:szCs w:val="24"/>
        </w:rPr>
        <w:t xml:space="preserve">увеличить  численность участников творческих коллективов. </w:t>
      </w:r>
    </w:p>
    <w:p w:rsidR="00685E11" w:rsidRPr="00A57B15" w:rsidRDefault="00685E11" w:rsidP="006F3112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В плане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изменения типа существующих муниципальных учреждений не ожидается, </w:t>
      </w:r>
      <w:r w:rsidR="00BC0E29" w:rsidRPr="00A57B15">
        <w:rPr>
          <w:sz w:val="24"/>
          <w:szCs w:val="24"/>
        </w:rPr>
        <w:t>планируется,</w:t>
      </w:r>
      <w:r w:rsidRPr="00A57B15">
        <w:rPr>
          <w:sz w:val="24"/>
          <w:szCs w:val="24"/>
        </w:rPr>
        <w:t xml:space="preserve"> что в 2020 году 4 учреждения сохранят статус автономных, 6 – бюджетных. </w:t>
      </w:r>
    </w:p>
    <w:p w:rsidR="00182D47" w:rsidRPr="00A57B15" w:rsidRDefault="00685E11" w:rsidP="00F96056">
      <w:pPr>
        <w:pStyle w:val="aff0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 xml:space="preserve">Продолжится работа по сохранению и развитию творческого потенциала населения, системы художественного образования, совершенствование деятельности библиотек, укрепление материально-технической базы учреждений культуры. </w:t>
      </w:r>
    </w:p>
    <w:p w:rsidR="00685E11" w:rsidRPr="00A57B15" w:rsidRDefault="00685E11" w:rsidP="00F96056">
      <w:pPr>
        <w:pStyle w:val="aff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57B15">
        <w:rPr>
          <w:rFonts w:ascii="Times New Roman" w:hAnsi="Times New Roman"/>
          <w:bCs/>
          <w:sz w:val="24"/>
          <w:szCs w:val="24"/>
        </w:rPr>
        <w:t>Средняя заработная плата педагогических работников учреждений дополнительного образования в 2020 году составит 105,3% от средней заработной платы учителей общего образования. Средняя заработная плата работников культуры в 2020 году составит 43 500,34 рублей.</w:t>
      </w:r>
    </w:p>
    <w:p w:rsidR="00685E11" w:rsidRPr="00A57B15" w:rsidRDefault="00685E11" w:rsidP="00F96056">
      <w:pPr>
        <w:ind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 xml:space="preserve">В 2020 году учреждения продолжат работать в соответствии с </w:t>
      </w:r>
      <w:r w:rsidRPr="00A57B15">
        <w:rPr>
          <w:sz w:val="24"/>
          <w:szCs w:val="24"/>
        </w:rPr>
        <w:t>критериями и показателями эффективности и результативности деятельности муниципальных учреждений и их руководителей, в соответствии с Постановлением администрации от 10/10/2013 № 2554.</w:t>
      </w:r>
    </w:p>
    <w:p w:rsidR="00685E11" w:rsidRPr="00A57B15" w:rsidRDefault="00685E11" w:rsidP="00F96056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В 2020 году планируется завершение работ по строительству репетиционного – концертного зала МБУ ДО СДШИ «Балтика».</w:t>
      </w:r>
    </w:p>
    <w:p w:rsidR="00685E11" w:rsidRPr="00A57B15" w:rsidRDefault="00685E11" w:rsidP="00F96056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рамках охранного свидетельства памятника садово-парковой архитектуры и искусства 70-х годов двадцатого века детского игрового комплекса «Андерсенград», муниципальной программой «Развитие культуры Сосновоборского городского округа на 2019-2024 годы» подпрограммой 2 «Сохранение и охрана культурного и исторического наследия Сосновоборского городского округа» предусмотрены средства на выполнение текущего ремонта ДИК «Андерсенград», а именно - ремонт бассейна.</w:t>
      </w:r>
      <w:proofErr w:type="gramEnd"/>
    </w:p>
    <w:p w:rsidR="007D5603" w:rsidRDefault="007D5603" w:rsidP="00685E11">
      <w:pPr>
        <w:ind w:firstLine="708"/>
        <w:jc w:val="both"/>
        <w:rPr>
          <w:b/>
          <w:sz w:val="24"/>
          <w:szCs w:val="24"/>
        </w:rPr>
      </w:pPr>
    </w:p>
    <w:p w:rsidR="00685E11" w:rsidRPr="00A57B15" w:rsidRDefault="00685E11" w:rsidP="00685E11">
      <w:pPr>
        <w:ind w:firstLine="708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Прогноз на 2021-2022 годы.</w:t>
      </w:r>
    </w:p>
    <w:p w:rsidR="00685E11" w:rsidRPr="00A57B15" w:rsidRDefault="00685E11" w:rsidP="00685E11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Сеть учреждений культуры планируется сохранить на прежнем уровне. Количество учреждений культуры составит 10 муниципальных учреждений, из которых будет 6 бюджетных и 4 автономных. Населению будут предложены услуги, в соответствии с утвержденным ведомственным перечнем муниципальных услуг.</w:t>
      </w:r>
    </w:p>
    <w:p w:rsidR="00685E11" w:rsidRPr="00A57B15" w:rsidRDefault="00685E11" w:rsidP="00685E11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Контингент школ дополнительного образования детей МБУ ДО «СДШИ «Балтика», МБУ ДО «СДШИ им. О.А. Кипренского» не будет превышать установленной квоты в муниципальном задании.</w:t>
      </w:r>
    </w:p>
    <w:p w:rsidR="00685E11" w:rsidRPr="00A57B15" w:rsidRDefault="00685E11" w:rsidP="00685E11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Будет продолжать работать новая муниципальная программа «Развитие культуры Сосновоборского городского округа на 2019-2024 годы», утвержденная постановлением администрации Сосновоборского городского округа от 24.09.2018 № 2165 (с изменениями). Муниципальная программа содержит пять подпрограмм и приведена в соответствие с Государственной программой «Развитие культуры Ленинградской области». Реализация новой муниципальной программы позволит выполнить следующие задачи:</w:t>
      </w:r>
    </w:p>
    <w:p w:rsidR="00685E11" w:rsidRPr="00A57B15" w:rsidRDefault="003C7EA9" w:rsidP="003C7EA9">
      <w:pPr>
        <w:pStyle w:val="1a"/>
        <w:ind w:left="48" w:firstLine="660"/>
        <w:rPr>
          <w:sz w:val="24"/>
        </w:rPr>
      </w:pPr>
      <w:r w:rsidRPr="00A57B15">
        <w:rPr>
          <w:sz w:val="24"/>
        </w:rPr>
        <w:t>- п</w:t>
      </w:r>
      <w:r w:rsidR="00685E11" w:rsidRPr="00A57B15">
        <w:rPr>
          <w:sz w:val="24"/>
        </w:rPr>
        <w:t>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3C7EA9" w:rsidRPr="00A57B15" w:rsidRDefault="00685E11" w:rsidP="003C7EA9">
      <w:pPr>
        <w:pStyle w:val="1a"/>
        <w:ind w:left="48"/>
        <w:rPr>
          <w:sz w:val="24"/>
        </w:rPr>
      </w:pPr>
      <w:r w:rsidRPr="00A57B15">
        <w:rPr>
          <w:sz w:val="24"/>
        </w:rPr>
        <w:t>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685E11" w:rsidRPr="00A57B15" w:rsidRDefault="00D06C0E" w:rsidP="00D06C0E">
      <w:pPr>
        <w:pStyle w:val="1a"/>
        <w:ind w:left="48" w:firstLine="660"/>
        <w:rPr>
          <w:sz w:val="24"/>
        </w:rPr>
      </w:pPr>
      <w:r w:rsidRPr="00A57B15">
        <w:rPr>
          <w:sz w:val="24"/>
        </w:rPr>
        <w:t>-</w:t>
      </w:r>
      <w:r w:rsidR="008B1C82">
        <w:rPr>
          <w:sz w:val="24"/>
        </w:rPr>
        <w:t xml:space="preserve"> </w:t>
      </w:r>
      <w:r w:rsidRPr="00A57B15">
        <w:rPr>
          <w:sz w:val="24"/>
        </w:rPr>
        <w:t>п</w:t>
      </w:r>
      <w:r w:rsidR="00685E11" w:rsidRPr="00A57B15">
        <w:rPr>
          <w:sz w:val="24"/>
        </w:rPr>
        <w:t>овышение посещаемости муниципального музея Сосновоборского городского округа;</w:t>
      </w:r>
    </w:p>
    <w:p w:rsidR="00685E11" w:rsidRPr="00A57B15" w:rsidRDefault="00D06C0E" w:rsidP="00D06C0E">
      <w:pPr>
        <w:ind w:left="48" w:firstLine="66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8B1C82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п</w:t>
      </w:r>
      <w:r w:rsidR="00685E11" w:rsidRPr="00A57B15">
        <w:rPr>
          <w:sz w:val="24"/>
          <w:szCs w:val="24"/>
        </w:rPr>
        <w:t xml:space="preserve">овышение доступности профессионального искусства и </w:t>
      </w:r>
      <w:proofErr w:type="spellStart"/>
      <w:r w:rsidR="00685E11" w:rsidRPr="00A57B15">
        <w:rPr>
          <w:sz w:val="24"/>
          <w:szCs w:val="24"/>
        </w:rPr>
        <w:t>культурно-досуговых</w:t>
      </w:r>
      <w:proofErr w:type="spellEnd"/>
      <w:r w:rsidR="00685E11" w:rsidRPr="00A57B15">
        <w:rPr>
          <w:sz w:val="24"/>
          <w:szCs w:val="24"/>
        </w:rPr>
        <w:t xml:space="preserve"> услуг для жителей Сосновоборского городского округа.</w:t>
      </w:r>
    </w:p>
    <w:p w:rsidR="00685E11" w:rsidRPr="00A57B15" w:rsidRDefault="00685E11" w:rsidP="00685E11">
      <w:pPr>
        <w:ind w:firstLine="720"/>
        <w:jc w:val="both"/>
        <w:rPr>
          <w:b/>
          <w:sz w:val="24"/>
          <w:szCs w:val="24"/>
        </w:rPr>
      </w:pPr>
      <w:proofErr w:type="gramStart"/>
      <w:r w:rsidRPr="00A57B15">
        <w:rPr>
          <w:sz w:val="24"/>
          <w:szCs w:val="24"/>
        </w:rPr>
        <w:t>В целях развития различных видов туризма и туристской деятельности на территории Сосновоборского городского округа,</w:t>
      </w:r>
      <w:r w:rsidRPr="00A57B15">
        <w:rPr>
          <w:b/>
          <w:sz w:val="24"/>
          <w:szCs w:val="24"/>
        </w:rPr>
        <w:t xml:space="preserve"> </w:t>
      </w:r>
      <w:r w:rsidRPr="00A57B15">
        <w:rPr>
          <w:sz w:val="24"/>
          <w:szCs w:val="24"/>
        </w:rPr>
        <w:t>разработки и реализации механизмов муниципальной поддержки сферы туризма, а также привлечения внебюджетных средств, формирования имиджа городского округа как территории, благоприятной для туризма, а также повышения известности округа в качестве территории, удовлетворяющей интересы разных целевых аудиторий, увеличения числа первых и повторных посещений территории округа, увеличения доходов местного</w:t>
      </w:r>
      <w:proofErr w:type="gramEnd"/>
      <w:r w:rsidRPr="00A57B15">
        <w:rPr>
          <w:sz w:val="24"/>
          <w:szCs w:val="24"/>
        </w:rPr>
        <w:t xml:space="preserve"> бюджета, с 2021 года планируется реализовывать следующие мероприятия:</w:t>
      </w:r>
    </w:p>
    <w:p w:rsidR="00685E11" w:rsidRPr="00A57B15" w:rsidRDefault="00D06C0E" w:rsidP="00861AC8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8B1C82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п</w:t>
      </w:r>
      <w:r w:rsidR="00685E11" w:rsidRPr="00A57B15">
        <w:rPr>
          <w:sz w:val="24"/>
          <w:szCs w:val="24"/>
        </w:rPr>
        <w:t xml:space="preserve">роведение информационно-ознакомительного тура в </w:t>
      </w:r>
      <w:proofErr w:type="gramStart"/>
      <w:r w:rsidR="00685E11" w:rsidRPr="00A57B15">
        <w:rPr>
          <w:sz w:val="24"/>
          <w:szCs w:val="24"/>
        </w:rPr>
        <w:t>г</w:t>
      </w:r>
      <w:proofErr w:type="gramEnd"/>
      <w:r w:rsidR="00685E11" w:rsidRPr="00A57B15">
        <w:rPr>
          <w:sz w:val="24"/>
          <w:szCs w:val="24"/>
        </w:rPr>
        <w:t>. Сосновый Бор для сотрудников турагентств СПб и ЛО в г. Сосновый Бор;</w:t>
      </w:r>
    </w:p>
    <w:p w:rsidR="00685E11" w:rsidRPr="00A57B15" w:rsidRDefault="00D06C0E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="008B1C82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о</w:t>
      </w:r>
      <w:r w:rsidR="00685E11" w:rsidRPr="00A57B15">
        <w:rPr>
          <w:sz w:val="24"/>
          <w:szCs w:val="24"/>
        </w:rPr>
        <w:t>рганизация конкурса профессиональных гидов на лучший экскурсионный маршрут по Сосновому Бору;</w:t>
      </w:r>
    </w:p>
    <w:p w:rsidR="00685E11" w:rsidRPr="00A57B15" w:rsidRDefault="00685E11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</w:t>
      </w:r>
      <w:r w:rsidR="00D06C0E" w:rsidRPr="00A57B15">
        <w:rPr>
          <w:sz w:val="24"/>
          <w:szCs w:val="24"/>
        </w:rPr>
        <w:t>п</w:t>
      </w:r>
      <w:r w:rsidRPr="00A57B15">
        <w:rPr>
          <w:sz w:val="24"/>
          <w:szCs w:val="24"/>
        </w:rPr>
        <w:t>родвижение туристического продукта Сосновоборского городского округа – участие в туристических выставках со стендами и презентациями туристических объектов Соснового Бора;</w:t>
      </w:r>
    </w:p>
    <w:p w:rsidR="00685E11" w:rsidRPr="00A57B15" w:rsidRDefault="00685E11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</w:t>
      </w:r>
      <w:r w:rsidR="00D06C0E" w:rsidRPr="00A57B15">
        <w:rPr>
          <w:sz w:val="24"/>
          <w:szCs w:val="24"/>
        </w:rPr>
        <w:t>п</w:t>
      </w:r>
      <w:r w:rsidRPr="00A57B15">
        <w:rPr>
          <w:sz w:val="24"/>
          <w:szCs w:val="24"/>
        </w:rPr>
        <w:t>овышение квалификации специалистов в сфере туризма и краеведения;</w:t>
      </w:r>
    </w:p>
    <w:p w:rsidR="00685E11" w:rsidRPr="00A57B15" w:rsidRDefault="00685E11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</w:t>
      </w:r>
      <w:r w:rsidR="00D06C0E" w:rsidRPr="00A57B15">
        <w:rPr>
          <w:sz w:val="24"/>
          <w:szCs w:val="24"/>
        </w:rPr>
        <w:t>из</w:t>
      </w:r>
      <w:r w:rsidRPr="00A57B15">
        <w:rPr>
          <w:sz w:val="24"/>
          <w:szCs w:val="24"/>
        </w:rPr>
        <w:t>готовление буклетов с достопримечательностями Соснового Бора;</w:t>
      </w:r>
    </w:p>
    <w:p w:rsidR="00685E11" w:rsidRPr="00A57B15" w:rsidRDefault="00685E11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</w:t>
      </w:r>
      <w:r w:rsidR="00D06C0E" w:rsidRPr="00A57B15">
        <w:rPr>
          <w:sz w:val="24"/>
          <w:szCs w:val="24"/>
        </w:rPr>
        <w:t>г</w:t>
      </w:r>
      <w:r w:rsidRPr="00A57B15">
        <w:rPr>
          <w:sz w:val="24"/>
          <w:szCs w:val="24"/>
        </w:rPr>
        <w:t xml:space="preserve">ородской конкурс исследовательских работ по краеведению «Летопись </w:t>
      </w:r>
      <w:r w:rsidR="00D06C0E" w:rsidRPr="00A57B15">
        <w:rPr>
          <w:sz w:val="24"/>
          <w:szCs w:val="24"/>
        </w:rPr>
        <w:t>С</w:t>
      </w:r>
      <w:r w:rsidRPr="00A57B15">
        <w:rPr>
          <w:sz w:val="24"/>
          <w:szCs w:val="24"/>
        </w:rPr>
        <w:t>основого Бора»;</w:t>
      </w:r>
    </w:p>
    <w:p w:rsidR="00685E11" w:rsidRPr="00A57B15" w:rsidRDefault="00685E11" w:rsidP="00685E11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«Школа юного гида» - экскурсии, которые проводят дети для своих ровесников из городов Ленинградской области, городов – побратимов, в том числе на английском языке. Планируется три поездки в год.</w:t>
      </w:r>
    </w:p>
    <w:p w:rsidR="00BA7F0F" w:rsidRPr="00A57B15" w:rsidRDefault="00685E11" w:rsidP="00BA7F0F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Предполагается, что частные организации сохранят свои позиции в сфере </w:t>
      </w:r>
      <w:proofErr w:type="spellStart"/>
      <w:r w:rsidRPr="00A57B15">
        <w:rPr>
          <w:sz w:val="24"/>
          <w:szCs w:val="24"/>
        </w:rPr>
        <w:t>досуговых</w:t>
      </w:r>
      <w:proofErr w:type="spellEnd"/>
      <w:r w:rsidRPr="00A57B15">
        <w:rPr>
          <w:sz w:val="24"/>
          <w:szCs w:val="24"/>
        </w:rPr>
        <w:t xml:space="preserve"> услуг на прежнем уровне.</w:t>
      </w:r>
    </w:p>
    <w:p w:rsidR="00685E11" w:rsidRPr="00A57B15" w:rsidRDefault="00685E11" w:rsidP="00BA7F0F">
      <w:pPr>
        <w:ind w:firstLine="708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Проблемы отросли</w:t>
      </w:r>
      <w:r w:rsidRPr="00A57B15">
        <w:rPr>
          <w:b/>
          <w:sz w:val="24"/>
          <w:szCs w:val="24"/>
        </w:rPr>
        <w:tab/>
        <w:t>и предполагаемые пути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809"/>
        <w:gridCol w:w="5408"/>
      </w:tblGrid>
      <w:tr w:rsidR="00685E11" w:rsidRPr="00A57B15" w:rsidTr="003C7EA9">
        <w:tc>
          <w:tcPr>
            <w:tcW w:w="653" w:type="dxa"/>
            <w:vAlign w:val="center"/>
          </w:tcPr>
          <w:p w:rsidR="00685E11" w:rsidRPr="00A57B15" w:rsidRDefault="00685E11" w:rsidP="003C7EA9">
            <w:pPr>
              <w:jc w:val="both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Align w:val="center"/>
          </w:tcPr>
          <w:p w:rsidR="00685E11" w:rsidRPr="00A57B15" w:rsidRDefault="00685E11" w:rsidP="003C7EA9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Основные проблемы</w:t>
            </w:r>
          </w:p>
        </w:tc>
        <w:tc>
          <w:tcPr>
            <w:tcW w:w="5692" w:type="dxa"/>
            <w:vAlign w:val="center"/>
          </w:tcPr>
          <w:p w:rsidR="00685E11" w:rsidRPr="00A57B15" w:rsidRDefault="00685E11" w:rsidP="003C7EA9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Ход решения проблемы 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85E11" w:rsidRPr="00A57B15" w:rsidRDefault="00685E11" w:rsidP="003C7EA9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Отсутствие в учреждениях сценической площадки, отвечающей современным стандартам и репетиционного зала для школы искусств «Балтика»</w:t>
            </w:r>
          </w:p>
        </w:tc>
        <w:tc>
          <w:tcPr>
            <w:tcW w:w="5692" w:type="dxa"/>
          </w:tcPr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2020 году планируется завершение работ по строительству репетиционного зала МБУ ДО «СДШИ «Балтика».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85E11" w:rsidRPr="00A57B15" w:rsidRDefault="00685E11" w:rsidP="003C7EA9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Потребность в помещениях для Сосновоборского музея. Отсутствие выставочного зала.</w:t>
            </w:r>
          </w:p>
        </w:tc>
        <w:tc>
          <w:tcPr>
            <w:tcW w:w="5692" w:type="dxa"/>
          </w:tcPr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2020 году муниципальный контракт на выполнение работ по проектированию здания городского музея расторгнут по согласованию сторон. В настоящее время уточняется концепция музея.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85E11" w:rsidRPr="00A57B15" w:rsidRDefault="00685E11" w:rsidP="003C7EA9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Низкий уровень материально-технической оснащенности учреждений культуры (кулисы, свет, кресла в зрительном зале, отсутствие единой сценической площадки для  проведения городских массовых праздников).</w:t>
            </w:r>
          </w:p>
        </w:tc>
        <w:tc>
          <w:tcPr>
            <w:tcW w:w="5692" w:type="dxa"/>
          </w:tcPr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proofErr w:type="gramStart"/>
            <w:r w:rsidRPr="00A57B15">
              <w:rPr>
                <w:sz w:val="24"/>
                <w:szCs w:val="24"/>
              </w:rPr>
              <w:t>В рамках плана мероприятий по укреплению общественной инфраструктуры СГО на 2020 год предусмотрено приобретение аудиовизуальной аппаратуры МАУК «ДК «Строитель» на сумму 200 000 рублей из областного бюджета и 10 526,32 рублей из местного бюджета на условии софинансирования, а также поставка, монтаж и пуско-наладочные работы внешнего блока кондиционирования в танцевальном зале МАУК «ДК «Строитель», приобретение светового оборудования для оснащения танцевального зала</w:t>
            </w:r>
            <w:proofErr w:type="gramEnd"/>
            <w:r w:rsidRPr="00A57B15">
              <w:rPr>
                <w:sz w:val="24"/>
                <w:szCs w:val="24"/>
              </w:rPr>
              <w:t xml:space="preserve"> МАУК «ДК «Строитель» на сумму 2 500 000 рублей из областного бюджета и 131 579,37 рублей из местного бюджета на условии софинансирования.</w:t>
            </w:r>
          </w:p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Приобретение музыкальных инструментов, костюмов и оргтехники МАУК «ГКЦ «</w:t>
            </w:r>
            <w:proofErr w:type="spellStart"/>
            <w:r w:rsidRPr="00A57B15">
              <w:rPr>
                <w:sz w:val="24"/>
                <w:szCs w:val="24"/>
              </w:rPr>
              <w:t>Арт-Карусель</w:t>
            </w:r>
            <w:proofErr w:type="spellEnd"/>
            <w:r w:rsidRPr="00A57B15">
              <w:rPr>
                <w:sz w:val="24"/>
                <w:szCs w:val="24"/>
              </w:rPr>
              <w:t>» на сумму 350 000 рублей из областного бюджета и 18 421,06 рублей из местного бюджета на условии софинансирования.</w:t>
            </w:r>
          </w:p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Приобретение оргтехники и мебели для деятельности учреждения МАУК «</w:t>
            </w:r>
            <w:proofErr w:type="spellStart"/>
            <w:r w:rsidRPr="00A57B15">
              <w:rPr>
                <w:sz w:val="24"/>
                <w:szCs w:val="24"/>
              </w:rPr>
              <w:t>СПКиО</w:t>
            </w:r>
            <w:proofErr w:type="spellEnd"/>
            <w:r w:rsidRPr="00A57B15">
              <w:rPr>
                <w:sz w:val="24"/>
                <w:szCs w:val="24"/>
              </w:rPr>
              <w:t xml:space="preserve">» на сумму 500 000 рублей из областного бюджета и </w:t>
            </w:r>
            <w:r w:rsidRPr="00A57B15">
              <w:rPr>
                <w:sz w:val="24"/>
                <w:szCs w:val="24"/>
              </w:rPr>
              <w:br/>
              <w:t>26 316 рублей из местного бюджета на условии софинансирования.</w:t>
            </w:r>
          </w:p>
          <w:p w:rsidR="00685E11" w:rsidRPr="00A57B15" w:rsidRDefault="00685E11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Государственной программой «Развитие культуры Ленинградской области» в 2020 году предусмотрено приобретение костюмов для коллективов </w:t>
            </w:r>
            <w:r w:rsidRPr="00A57B15">
              <w:rPr>
                <w:rFonts w:eastAsia="Batang"/>
                <w:sz w:val="24"/>
                <w:szCs w:val="24"/>
              </w:rPr>
              <w:t>СМБУК «ГТЦ «Волшебный Фонарь»</w:t>
            </w:r>
            <w:r w:rsidRPr="00A57B15">
              <w:rPr>
                <w:sz w:val="24"/>
                <w:szCs w:val="24"/>
              </w:rPr>
              <w:t xml:space="preserve"> и </w:t>
            </w:r>
            <w:r w:rsidRPr="00A57B15">
              <w:rPr>
                <w:rFonts w:eastAsia="Batang"/>
                <w:sz w:val="24"/>
                <w:szCs w:val="24"/>
              </w:rPr>
              <w:t>МАУК «ГКЦ «</w:t>
            </w:r>
            <w:proofErr w:type="spellStart"/>
            <w:proofErr w:type="gramStart"/>
            <w:r w:rsidRPr="00A57B15">
              <w:rPr>
                <w:rFonts w:eastAsia="Batang"/>
                <w:sz w:val="24"/>
                <w:szCs w:val="24"/>
              </w:rPr>
              <w:t>Арт</w:t>
            </w:r>
            <w:proofErr w:type="spellEnd"/>
            <w:proofErr w:type="gramEnd"/>
            <w:r w:rsidRPr="00A57B15">
              <w:rPr>
                <w:rFonts w:eastAsia="Batang"/>
                <w:sz w:val="24"/>
                <w:szCs w:val="24"/>
              </w:rPr>
              <w:t xml:space="preserve"> - Карусель»</w:t>
            </w:r>
            <w:r w:rsidRPr="00A57B15">
              <w:rPr>
                <w:sz w:val="24"/>
                <w:szCs w:val="24"/>
              </w:rPr>
              <w:t>, имеющие звание «Народный» и «Образцовый» в сумме 391 352 рубля из областного бюджета и 161 200 рублей из местного бюджета на условии софинансирования.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85E11" w:rsidRPr="00A57B15" w:rsidRDefault="00685E11" w:rsidP="003C7EA9">
            <w:pPr>
              <w:pStyle w:val="21"/>
              <w:spacing w:after="0" w:line="240" w:lineRule="auto"/>
              <w:ind w:left="46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работ по ремонту объектов учреждений культуры.</w:t>
            </w:r>
          </w:p>
        </w:tc>
        <w:tc>
          <w:tcPr>
            <w:tcW w:w="5692" w:type="dxa"/>
          </w:tcPr>
          <w:p w:rsidR="00685E11" w:rsidRPr="00A57B15" w:rsidRDefault="00685E11" w:rsidP="003C7EA9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 рамках плана мероприятий по укреплению общественной инфраструктуры СГО на 2020 год предусмотрены </w:t>
            </w:r>
            <w:r w:rsidRPr="00A57B15">
              <w:rPr>
                <w:bCs/>
                <w:sz w:val="24"/>
                <w:szCs w:val="24"/>
              </w:rPr>
              <w:t xml:space="preserve">работы по ремонту </w:t>
            </w:r>
            <w:r w:rsidRPr="00A57B15">
              <w:rPr>
                <w:sz w:val="24"/>
                <w:szCs w:val="24"/>
              </w:rPr>
              <w:t>помещений МАУК «ГТЦ»</w:t>
            </w:r>
            <w:r w:rsidRPr="00A57B15">
              <w:rPr>
                <w:bCs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 xml:space="preserve">на сумму 2 000 000 рублей из </w:t>
            </w:r>
            <w:r w:rsidRPr="00A57B15">
              <w:rPr>
                <w:sz w:val="24"/>
                <w:szCs w:val="24"/>
              </w:rPr>
              <w:lastRenderedPageBreak/>
              <w:t>областного бюджета и 105 263,16 рублей из местного бюджета на условии софинансирования.</w:t>
            </w:r>
          </w:p>
          <w:p w:rsidR="00685E11" w:rsidRPr="00A57B15" w:rsidRDefault="00685E11" w:rsidP="003C7EA9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В рамках подпрограммы 5 «Обеспечение реализации муниципальной программы» в 2020 году запланирован текущий ремонт на сумму 7 464 249,18 рублей за счет местного бюджета.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685E11" w:rsidRPr="00A57B15" w:rsidRDefault="00685E11" w:rsidP="00182D47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сохранения и поддержки памятника садово-парковой архитектуры и искусства 70-х годов двадцатого века детского игрового комплекса «Андерсенград»</w:t>
            </w:r>
          </w:p>
        </w:tc>
        <w:tc>
          <w:tcPr>
            <w:tcW w:w="5692" w:type="dxa"/>
          </w:tcPr>
          <w:p w:rsidR="00685E11" w:rsidRPr="00A57B15" w:rsidRDefault="00BC0E29" w:rsidP="003C7EA9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</w:t>
            </w:r>
            <w:r w:rsidR="00685E11" w:rsidRPr="00A57B15">
              <w:rPr>
                <w:sz w:val="24"/>
                <w:szCs w:val="24"/>
              </w:rPr>
              <w:t xml:space="preserve">а 2020 год </w:t>
            </w:r>
            <w:proofErr w:type="gramStart"/>
            <w:r w:rsidR="00685E11" w:rsidRPr="00A57B15">
              <w:rPr>
                <w:sz w:val="24"/>
                <w:szCs w:val="24"/>
              </w:rPr>
              <w:t>предусмотрены средства на проведение текущего ремонта в рамках охранного обязательства ДИК</w:t>
            </w:r>
            <w:proofErr w:type="gramEnd"/>
            <w:r w:rsidR="00685E11" w:rsidRPr="00A57B15">
              <w:rPr>
                <w:sz w:val="24"/>
                <w:szCs w:val="24"/>
              </w:rPr>
              <w:t xml:space="preserve"> «Андерсенград» на сумму </w:t>
            </w:r>
            <w:r w:rsidR="00685E11" w:rsidRPr="00A57B15">
              <w:rPr>
                <w:rFonts w:eastAsia="Batang"/>
                <w:sz w:val="24"/>
                <w:szCs w:val="24"/>
              </w:rPr>
              <w:t>10 548 351</w:t>
            </w:r>
            <w:r w:rsidR="00685E11" w:rsidRPr="00A57B15">
              <w:rPr>
                <w:sz w:val="24"/>
                <w:szCs w:val="24"/>
              </w:rPr>
              <w:t xml:space="preserve"> рубль, а именно на ремонт бассейна.</w:t>
            </w:r>
          </w:p>
        </w:tc>
      </w:tr>
      <w:tr w:rsidR="00685E11" w:rsidRPr="00A57B15" w:rsidTr="003C7EA9">
        <w:tc>
          <w:tcPr>
            <w:tcW w:w="653" w:type="dxa"/>
          </w:tcPr>
          <w:p w:rsidR="00685E11" w:rsidRPr="00A57B15" w:rsidRDefault="00685E11" w:rsidP="003C7EA9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685E11" w:rsidRPr="00A57B15" w:rsidRDefault="00685E11" w:rsidP="00182D47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сохранения объектов культурного наследия (увековечивание, охранные обязательства, разработка проектов охранных зон).</w:t>
            </w:r>
          </w:p>
        </w:tc>
        <w:tc>
          <w:tcPr>
            <w:tcW w:w="5692" w:type="dxa"/>
          </w:tcPr>
          <w:p w:rsidR="00685E11" w:rsidRPr="00A57B15" w:rsidRDefault="00685E11" w:rsidP="00182D47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 xml:space="preserve"> В 2020 году заключены муниципальные работы по внесению изменений в ПЗО и акт экспертизы Мемориального комплекса «Защитникам Отечества». Завершение работ запланировано на июль 2020 года, после чего результаты будут переданы в комитет по культуре Ленинградской области для утверждения границ зоны охраны </w:t>
            </w:r>
            <w:proofErr w:type="spellStart"/>
            <w:r w:rsidRPr="00A57B15">
              <w:rPr>
                <w:rFonts w:ascii="Times New Roman" w:hAnsi="Times New Roman"/>
                <w:sz w:val="24"/>
                <w:szCs w:val="24"/>
              </w:rPr>
              <w:t>объ</w:t>
            </w:r>
            <w:proofErr w:type="spellEnd"/>
          </w:p>
        </w:tc>
      </w:tr>
    </w:tbl>
    <w:p w:rsidR="00A00FD3" w:rsidRPr="00A57B15" w:rsidRDefault="00A00FD3" w:rsidP="00685E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11" w:rsidRPr="00A57B15" w:rsidRDefault="00685E11" w:rsidP="00685E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t xml:space="preserve">Задачи отрасли </w:t>
      </w:r>
      <w:r w:rsidRPr="00A57B15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07.05.2018 № 204 «О национальных целях и стратегических задачах развития Российской Федерации на период до 2024 года» – повышение обеспеченности населения Сосновоборского городского округа традиционными продуктами отрасли культуры:</w:t>
      </w:r>
    </w:p>
    <w:p w:rsidR="00685E11" w:rsidRPr="00A57B15" w:rsidRDefault="00685E11" w:rsidP="00685E11">
      <w:pPr>
        <w:pStyle w:val="1a"/>
        <w:ind w:firstLine="709"/>
        <w:rPr>
          <w:sz w:val="24"/>
        </w:rPr>
      </w:pPr>
      <w:r w:rsidRPr="00A57B15">
        <w:rPr>
          <w:sz w:val="24"/>
        </w:rPr>
        <w:t>-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685E11" w:rsidRPr="00A57B15" w:rsidRDefault="00685E11" w:rsidP="00685E11">
      <w:pPr>
        <w:pStyle w:val="1a"/>
        <w:ind w:firstLine="709"/>
        <w:rPr>
          <w:sz w:val="24"/>
        </w:rPr>
      </w:pPr>
      <w:r w:rsidRPr="00A57B15">
        <w:rPr>
          <w:sz w:val="24"/>
        </w:rPr>
        <w:t>- 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685E11" w:rsidRPr="00A57B15" w:rsidRDefault="00685E11" w:rsidP="00685E11">
      <w:pPr>
        <w:pStyle w:val="1a"/>
        <w:ind w:firstLine="709"/>
        <w:rPr>
          <w:sz w:val="24"/>
        </w:rPr>
      </w:pPr>
      <w:r w:rsidRPr="00A57B15">
        <w:rPr>
          <w:sz w:val="24"/>
        </w:rPr>
        <w:t>- повышение посещаемости муниципального музея Сосновоборского городского округа;</w:t>
      </w:r>
    </w:p>
    <w:p w:rsidR="00685E11" w:rsidRPr="00A57B15" w:rsidRDefault="00685E11" w:rsidP="00685E11">
      <w:pPr>
        <w:pStyle w:val="1a"/>
        <w:ind w:firstLine="709"/>
        <w:rPr>
          <w:sz w:val="24"/>
        </w:rPr>
      </w:pPr>
      <w:r w:rsidRPr="00A57B15">
        <w:rPr>
          <w:sz w:val="24"/>
        </w:rPr>
        <w:t xml:space="preserve">- повышение доступности профессионального искусства и </w:t>
      </w:r>
      <w:proofErr w:type="spellStart"/>
      <w:r w:rsidRPr="00A57B15">
        <w:rPr>
          <w:sz w:val="24"/>
        </w:rPr>
        <w:t>культурно-досуговых</w:t>
      </w:r>
      <w:proofErr w:type="spellEnd"/>
      <w:r w:rsidRPr="00A57B15">
        <w:rPr>
          <w:sz w:val="24"/>
        </w:rPr>
        <w:t xml:space="preserve"> услуг для жителей Сосновоборского городского округа.</w:t>
      </w:r>
    </w:p>
    <w:p w:rsidR="00685E11" w:rsidRPr="00A57B15" w:rsidRDefault="00685E11" w:rsidP="00685E11">
      <w:pPr>
        <w:rPr>
          <w:sz w:val="24"/>
          <w:szCs w:val="24"/>
        </w:rPr>
      </w:pPr>
    </w:p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  <w:lang w:eastAsia="en-US"/>
        </w:rPr>
      </w:pPr>
      <w:bookmarkStart w:id="57" w:name="_Toc16152567"/>
      <w:bookmarkStart w:id="58" w:name="_Toc52186989"/>
      <w:r w:rsidRPr="00A57B15">
        <w:rPr>
          <w:color w:val="auto"/>
        </w:rPr>
        <w:t>6.5. Физическая культура и спорт</w:t>
      </w:r>
      <w:bookmarkEnd w:id="56"/>
      <w:bookmarkEnd w:id="57"/>
      <w:bookmarkEnd w:id="58"/>
    </w:p>
    <w:p w:rsidR="009C4AF0" w:rsidRPr="00A57B15" w:rsidRDefault="009C4AF0" w:rsidP="009C4AF0">
      <w:pPr>
        <w:keepNext/>
        <w:ind w:firstLine="709"/>
        <w:jc w:val="both"/>
        <w:rPr>
          <w:b/>
          <w:bCs/>
          <w:sz w:val="24"/>
          <w:szCs w:val="24"/>
        </w:rPr>
      </w:pPr>
      <w:bookmarkStart w:id="59" w:name="_Toc270930062"/>
    </w:p>
    <w:p w:rsidR="00E50597" w:rsidRPr="00A57B15" w:rsidRDefault="00E50597" w:rsidP="00E50597">
      <w:pPr>
        <w:keepNext/>
        <w:ind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Основная задача 2020 года – улучшение физкультурно-оздоровительной и спортивно-массовой работы со всеми категориями населения города, использование при этом как спортивных площадок по месту жительства, так и спортивных объектов общеобразовательных школ в вечернее время и выходные дни. 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В муниципальном образовании будет проведена активная работа со всеми городскими общественными формированиями и федерациями. 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На реализацию муниципальной программы «Физическая культура и спорт в муниципальном образовании Сосновоборский городской округ на 2014-2025г.г.» из городского бюджета планируется израсходовать </w:t>
      </w:r>
      <w:r w:rsidRPr="00A57B15">
        <w:rPr>
          <w:sz w:val="24"/>
          <w:szCs w:val="24"/>
        </w:rPr>
        <w:t xml:space="preserve">45 281 655,86 </w:t>
      </w:r>
      <w:r w:rsidRPr="00A57B15">
        <w:rPr>
          <w:rFonts w:eastAsia="Calibri"/>
          <w:sz w:val="24"/>
          <w:szCs w:val="24"/>
        </w:rPr>
        <w:t>тыс. руб.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Численность систематически занимающихся спортом будет составлять более 26 тыс. человек. 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В течение года запланированы мероприятия по улучшению спортивной инфраструктуры Сосновоборского городского округа: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- строительство велодорожки (2-й этап от Городского подвесного моста до часовни (мемориал Устье протяженностью 2 км);</w:t>
      </w:r>
    </w:p>
    <w:p w:rsidR="00E50597" w:rsidRPr="00A57B15" w:rsidRDefault="00E50597" w:rsidP="0039043C">
      <w:pPr>
        <w:ind w:firstLine="708"/>
        <w:rPr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- </w:t>
      </w:r>
      <w:r w:rsidRPr="00A57B15">
        <w:rPr>
          <w:sz w:val="24"/>
          <w:szCs w:val="24"/>
        </w:rPr>
        <w:t>реконструкция теннисных кортов по адресу ул. Космонавтов, 26.</w:t>
      </w:r>
    </w:p>
    <w:p w:rsidR="007D5603" w:rsidRDefault="007D5603" w:rsidP="00E50597">
      <w:pPr>
        <w:ind w:firstLine="709"/>
        <w:jc w:val="both"/>
        <w:rPr>
          <w:b/>
          <w:bCs/>
          <w:sz w:val="24"/>
          <w:szCs w:val="24"/>
        </w:rPr>
      </w:pPr>
    </w:p>
    <w:p w:rsidR="00E50597" w:rsidRPr="00A57B15" w:rsidRDefault="00E50597" w:rsidP="00E50597">
      <w:pPr>
        <w:ind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E50597" w:rsidRPr="00A57B15" w:rsidRDefault="00E50597" w:rsidP="00E505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Цели, стоящие перед администрацией города в сфере физической культуры и спорта:</w:t>
      </w:r>
    </w:p>
    <w:p w:rsidR="00E50597" w:rsidRPr="00A57B15" w:rsidRDefault="00E50597" w:rsidP="00E505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- вовлечение различных групп населения в занятия физической культурой и спортом по месту жительства,</w:t>
      </w:r>
    </w:p>
    <w:p w:rsidR="00E50597" w:rsidRPr="00A57B15" w:rsidRDefault="00E50597" w:rsidP="00E505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-</w:t>
      </w:r>
      <w:r w:rsidR="00D41B24">
        <w:rPr>
          <w:rFonts w:eastAsia="Calibri"/>
          <w:sz w:val="24"/>
          <w:szCs w:val="24"/>
        </w:rPr>
        <w:t xml:space="preserve"> </w:t>
      </w:r>
      <w:r w:rsidRPr="00A57B15">
        <w:rPr>
          <w:rFonts w:eastAsia="Calibri"/>
          <w:sz w:val="24"/>
          <w:szCs w:val="24"/>
          <w:shd w:val="clear" w:color="auto" w:fill="FFFFFF"/>
        </w:rPr>
        <w:t>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</w:p>
    <w:p w:rsidR="00E50597" w:rsidRPr="00A57B15" w:rsidRDefault="00E50597" w:rsidP="00E505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A57B15">
        <w:rPr>
          <w:rFonts w:eastAsia="Calibri"/>
          <w:sz w:val="24"/>
          <w:szCs w:val="24"/>
        </w:rPr>
        <w:t>-</w:t>
      </w:r>
      <w:r w:rsidR="00D41B24">
        <w:rPr>
          <w:rFonts w:eastAsia="Calibri"/>
          <w:sz w:val="24"/>
          <w:szCs w:val="24"/>
        </w:rPr>
        <w:t xml:space="preserve"> </w:t>
      </w:r>
      <w:r w:rsidRPr="00A57B15">
        <w:rPr>
          <w:rFonts w:eastAsia="Calibri"/>
          <w:sz w:val="24"/>
          <w:szCs w:val="24"/>
          <w:shd w:val="clear" w:color="auto" w:fill="FFFFFF"/>
        </w:rPr>
        <w:t>повышение уровня физической подготовленности и продолжительности жизни граждан;</w:t>
      </w:r>
    </w:p>
    <w:p w:rsidR="00E50597" w:rsidRPr="00A57B15" w:rsidRDefault="00E50597" w:rsidP="00E505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Для выполнения этих целей необходимо </w:t>
      </w:r>
      <w:r w:rsidRPr="00A57B15">
        <w:rPr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Показателем развития физической культуры и спорта является доля граждан, ведущих здоровый образ жизни, а также увеличение доли граждан, систематически занимающихся физической культурой и спортом. </w:t>
      </w:r>
    </w:p>
    <w:p w:rsidR="00E50597" w:rsidRPr="00A57B15" w:rsidRDefault="00E50597" w:rsidP="00E50597">
      <w:pPr>
        <w:ind w:firstLine="709"/>
        <w:jc w:val="both"/>
        <w:rPr>
          <w:sz w:val="24"/>
          <w:szCs w:val="24"/>
        </w:rPr>
      </w:pPr>
      <w:r w:rsidRPr="00A57B15">
        <w:rPr>
          <w:rFonts w:eastAsia="Calibri"/>
          <w:sz w:val="24"/>
          <w:szCs w:val="24"/>
        </w:rPr>
        <w:t>В результате выполнения мероприятий муниципальной программы предполагается увеличить долю населения г. Сосновый Бор, систематически занимающегося физической культурой и спортом, не менее 50 % от общего числа населения. Увеличить удельный вес детей, подростков и молодежи, занимающихся в физкультурно-спортивных секциях, клубах до 90%, увеличить охват населения, принимающего участие в спортивно-массовых мероприятиях, до 28 тыс. чел., увеличить количество инструкторов, тренеров и других специалистов физической культуры и спорта, работающих по специальности до 170 чел.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Ожидаемые результаты по прогнозу основаны на реализации комплекса спортивно-оздоровительных мероприятий по охране и укреплению здоровья, повышению охвата детей, подростков и молодежи физической культурой и спортом, в том числе и по месту жительства. </w:t>
      </w:r>
    </w:p>
    <w:p w:rsidR="00E50597" w:rsidRPr="00A57B15" w:rsidRDefault="00E50597" w:rsidP="00E50597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Планируется организация досуга и пропаганды здорового образа жизни среди всех слоев населения, а также решение социально значимых для города задач.</w:t>
      </w:r>
    </w:p>
    <w:p w:rsidR="00E50597" w:rsidRPr="00A57B15" w:rsidRDefault="00E50597" w:rsidP="00E50597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  <w:lang w:bidi="ru-RU"/>
        </w:rPr>
        <w:t xml:space="preserve">На реализацию муниципальной программы «Физическая культура и спорт в муниципальном образовании Сосновоборский городской округ на 2014-2025 </w:t>
      </w:r>
      <w:proofErr w:type="gramStart"/>
      <w:r w:rsidRPr="00A57B15">
        <w:rPr>
          <w:rFonts w:ascii="Times New Roman" w:hAnsi="Times New Roman"/>
          <w:sz w:val="24"/>
          <w:szCs w:val="24"/>
          <w:lang w:bidi="ru-RU"/>
        </w:rPr>
        <w:t>г.г.» из</w:t>
      </w:r>
      <w:proofErr w:type="gramEnd"/>
      <w:r w:rsidRPr="00A57B15">
        <w:rPr>
          <w:rFonts w:ascii="Times New Roman" w:hAnsi="Times New Roman"/>
          <w:sz w:val="24"/>
          <w:szCs w:val="24"/>
          <w:lang w:bidi="ru-RU"/>
        </w:rPr>
        <w:t xml:space="preserve"> городского бюджета планируется израсходовать:</w:t>
      </w:r>
    </w:p>
    <w:p w:rsidR="00E50597" w:rsidRPr="00A57B15" w:rsidRDefault="00E50597" w:rsidP="0039043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2021 год – 44 351 200,00 руб.;</w:t>
      </w:r>
    </w:p>
    <w:p w:rsidR="00E50597" w:rsidRPr="00A57B15" w:rsidRDefault="00E50597" w:rsidP="0039043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2022 год – 45 829 195,00 руб.;</w:t>
      </w:r>
    </w:p>
    <w:p w:rsidR="00E50597" w:rsidRPr="00A57B15" w:rsidRDefault="00E50597" w:rsidP="0039043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2023 год – 44 224 119,00 руб.;</w:t>
      </w:r>
    </w:p>
    <w:p w:rsidR="00A00FD3" w:rsidRPr="00A57B15" w:rsidRDefault="00A00FD3" w:rsidP="0039043C">
      <w:pPr>
        <w:ind w:firstLine="708"/>
        <w:jc w:val="both"/>
        <w:rPr>
          <w:sz w:val="24"/>
          <w:szCs w:val="24"/>
        </w:rPr>
      </w:pP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6"/>
        <w:gridCol w:w="6378"/>
      </w:tblGrid>
      <w:tr w:rsidR="00E50597" w:rsidRPr="00A57B15" w:rsidTr="00A00FD3"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E50597" w:rsidRPr="00A57B15" w:rsidRDefault="00E50597" w:rsidP="00E50597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Style w:val="aff9"/>
                <w:color w:val="auto"/>
                <w:sz w:val="24"/>
                <w:szCs w:val="24"/>
              </w:rPr>
              <w:t>Основные проблемы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E50597" w:rsidRPr="00A57B15" w:rsidRDefault="00E50597" w:rsidP="00E50597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Style w:val="aff9"/>
                <w:color w:val="auto"/>
                <w:sz w:val="24"/>
                <w:szCs w:val="24"/>
              </w:rPr>
              <w:t>Предполагаемые пути решения</w:t>
            </w:r>
          </w:p>
        </w:tc>
      </w:tr>
      <w:tr w:rsidR="00E50597" w:rsidRPr="00A57B15" w:rsidTr="00A00FD3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E50597" w:rsidRPr="00A57B15" w:rsidRDefault="00553F21" w:rsidP="00553F21">
            <w:pPr>
              <w:pStyle w:val="27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>1.</w:t>
            </w:r>
            <w:r w:rsidR="00E50597" w:rsidRPr="00A57B15">
              <w:rPr>
                <w:rFonts w:ascii="Times New Roman" w:hAnsi="Times New Roman"/>
                <w:sz w:val="24"/>
                <w:szCs w:val="24"/>
              </w:rPr>
              <w:t>Недостаточное количество спортивных залов для занятий игровыми видами спорта</w:t>
            </w:r>
            <w:r w:rsidRPr="00A57B15">
              <w:rPr>
                <w:rFonts w:ascii="Times New Roman" w:hAnsi="Times New Roman"/>
                <w:sz w:val="24"/>
                <w:szCs w:val="24"/>
              </w:rPr>
              <w:t>,</w:t>
            </w:r>
            <w:r w:rsidR="00E50597" w:rsidRPr="00A57B15">
              <w:rPr>
                <w:rFonts w:ascii="Times New Roman" w:hAnsi="Times New Roman"/>
                <w:sz w:val="24"/>
                <w:szCs w:val="24"/>
              </w:rPr>
              <w:t xml:space="preserve"> в том числе отсутствие крытого ледового катка и 25-метрового бассейна.</w:t>
            </w:r>
          </w:p>
          <w:p w:rsidR="00E50597" w:rsidRPr="00A57B15" w:rsidRDefault="00553F21" w:rsidP="00553F21">
            <w:pPr>
              <w:pStyle w:val="27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>2.</w:t>
            </w:r>
            <w:r w:rsidR="00E50597" w:rsidRPr="00A57B15">
              <w:rPr>
                <w:rFonts w:ascii="Times New Roman" w:hAnsi="Times New Roman"/>
                <w:sz w:val="24"/>
                <w:szCs w:val="24"/>
              </w:rPr>
              <w:t>Большое количество дворовых площадок в плохом состоянии.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E50597" w:rsidRPr="00A57B15" w:rsidRDefault="00E50597" w:rsidP="00143FDD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Состоялось открытие в 2020 году универсального спортивного зала для занятий волейболом и баскетболом. (Финансирование строительства из областного бюджета)</w:t>
            </w:r>
          </w:p>
          <w:p w:rsidR="00E50597" w:rsidRPr="00A57B15" w:rsidRDefault="00E50597" w:rsidP="00143FDD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Реконструкция теннисных кортов по адресу ул. Космонавтов, 26.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Строительство (реконструкция) объектов спортивной направленности в рамках концепции развития Приморского парка: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</w:t>
            </w:r>
            <w:proofErr w:type="spellStart"/>
            <w:r w:rsidRPr="00A57B15">
              <w:rPr>
                <w:sz w:val="24"/>
                <w:szCs w:val="24"/>
              </w:rPr>
              <w:t>лыжероллерной</w:t>
            </w:r>
            <w:proofErr w:type="spellEnd"/>
            <w:r w:rsidRPr="00A57B15">
              <w:rPr>
                <w:sz w:val="24"/>
                <w:szCs w:val="24"/>
              </w:rPr>
              <w:t xml:space="preserve"> трассы;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</w:t>
            </w:r>
            <w:proofErr w:type="spellStart"/>
            <w:r w:rsidRPr="00A57B15">
              <w:rPr>
                <w:sz w:val="24"/>
                <w:szCs w:val="24"/>
              </w:rPr>
              <w:t>скейт-парка</w:t>
            </w:r>
            <w:proofErr w:type="spellEnd"/>
            <w:r w:rsidRPr="00A57B15">
              <w:rPr>
                <w:sz w:val="24"/>
                <w:szCs w:val="24"/>
              </w:rPr>
              <w:t>.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крытого футбольного манежа;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крытого ледового катка;</w:t>
            </w:r>
          </w:p>
          <w:p w:rsidR="00E50597" w:rsidRPr="00A57B15" w:rsidRDefault="00E50597" w:rsidP="00E50597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- 25-метрового плавательного бассейна;</w:t>
            </w:r>
          </w:p>
          <w:p w:rsidR="00E50597" w:rsidRPr="00A57B15" w:rsidRDefault="00E50597" w:rsidP="00CF77B3">
            <w:pPr>
              <w:ind w:firstLine="17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стадиона для пляжных видов спорта в районе </w:t>
            </w:r>
            <w:proofErr w:type="spellStart"/>
            <w:r w:rsidRPr="00A57B15">
              <w:rPr>
                <w:sz w:val="24"/>
                <w:szCs w:val="24"/>
              </w:rPr>
              <w:t>Липово</w:t>
            </w:r>
            <w:proofErr w:type="spellEnd"/>
            <w:r w:rsidRPr="00A57B15">
              <w:rPr>
                <w:sz w:val="24"/>
                <w:szCs w:val="24"/>
              </w:rPr>
              <w:t>.</w:t>
            </w:r>
          </w:p>
          <w:p w:rsidR="00E50597" w:rsidRPr="00A57B15" w:rsidRDefault="00E50597" w:rsidP="00CF77B3">
            <w:pPr>
              <w:ind w:firstLine="17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 связи с тем, что финансирование в городском бюджете </w:t>
            </w:r>
            <w:r w:rsidRPr="00A57B15">
              <w:rPr>
                <w:sz w:val="24"/>
                <w:szCs w:val="24"/>
              </w:rPr>
              <w:lastRenderedPageBreak/>
              <w:t>не предусмотрено, решение вопроса по финансированию строительства этих объектов возможно через Государственную корпорацию по атомной энергии «Росатом» или Государственную программу Ленинградской области "Развитие физической культуры и спорта Ленинградской области" (подпрограмма 4 «Развитие объектов физической культуры и спорта в Ленинградской области»)</w:t>
            </w:r>
          </w:p>
        </w:tc>
      </w:tr>
    </w:tbl>
    <w:p w:rsidR="00E50597" w:rsidRPr="00A57B15" w:rsidRDefault="00E50597" w:rsidP="00E50597"/>
    <w:p w:rsidR="009C4AF0" w:rsidRPr="00A57B15" w:rsidRDefault="009C4AF0" w:rsidP="009C4AF0">
      <w:pPr>
        <w:jc w:val="both"/>
        <w:rPr>
          <w:sz w:val="24"/>
          <w:szCs w:val="24"/>
        </w:rPr>
      </w:pPr>
    </w:p>
    <w:p w:rsidR="009C4AF0" w:rsidRPr="00A57B15" w:rsidRDefault="009C4AF0" w:rsidP="00B43A07">
      <w:pPr>
        <w:pStyle w:val="2"/>
        <w:rPr>
          <w:color w:val="auto"/>
        </w:rPr>
      </w:pPr>
      <w:bookmarkStart w:id="60" w:name="_Toc16152568"/>
      <w:bookmarkStart w:id="61" w:name="_Toc52186990"/>
      <w:r w:rsidRPr="00A57B15">
        <w:rPr>
          <w:color w:val="auto"/>
        </w:rPr>
        <w:t>6.6. Молодежная политика</w:t>
      </w:r>
      <w:bookmarkEnd w:id="59"/>
      <w:bookmarkEnd w:id="60"/>
      <w:bookmarkEnd w:id="61"/>
    </w:p>
    <w:p w:rsidR="009C4AF0" w:rsidRPr="00A57B15" w:rsidRDefault="009C4AF0" w:rsidP="009C4AF0">
      <w:pPr>
        <w:pStyle w:val="21"/>
        <w:spacing w:after="0" w:line="240" w:lineRule="auto"/>
        <w:ind w:left="0" w:firstLine="708"/>
        <w:rPr>
          <w:b/>
          <w:bCs/>
          <w:sz w:val="24"/>
          <w:szCs w:val="24"/>
        </w:rPr>
      </w:pPr>
    </w:p>
    <w:p w:rsidR="003539BC" w:rsidRPr="00A57B15" w:rsidRDefault="003539BC" w:rsidP="003539BC">
      <w:pPr>
        <w:pStyle w:val="21"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539BC" w:rsidRPr="00A57B15" w:rsidRDefault="003539BC" w:rsidP="003539BC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течение 2020 года работа в сфере молодежной политики проводится в соответствии с муниципальной программой Сосновоборского городского округа «Физическая культура, спорт и молодежная политика муниципального образования Сосновоборский городской округ на 2014–2025 годы» подпрограмма 2 «Молодежная политика».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2020 году 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содействия трудовой адаптации и занятости молодежи продолжает функционировать МАУ «Молодежный центр «Диалог». 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Планируется, что в 2020 году будут организованы и проведены в рамках муниципального задания МАУ «Молодежный центр «Диалог» 85 мероприятий, участниками которых станут 5 600 молодых жителей города, а зрителями – более 11 000 человек. </w:t>
      </w:r>
    </w:p>
    <w:p w:rsidR="007D5603" w:rsidRDefault="003539BC" w:rsidP="007D5603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Продолжат успешно реализовываться традиционные социальные проекты, такие как: организация занятости подростков и молодежи; работа с молодыми людьми с ограниченными возможностями здоровья; поддержка деятельности молодежных общественных объединений города. Планируется, что в 2020 году будут завершены работы по установке светодиодной вывески над главным входом МАУ «Молодежный центр «Диалог». </w:t>
      </w:r>
    </w:p>
    <w:p w:rsidR="007D5603" w:rsidRDefault="007D5603" w:rsidP="007D5603">
      <w:pPr>
        <w:ind w:firstLine="708"/>
        <w:jc w:val="both"/>
        <w:rPr>
          <w:sz w:val="24"/>
          <w:szCs w:val="24"/>
        </w:rPr>
      </w:pPr>
    </w:p>
    <w:p w:rsidR="007D5603" w:rsidRDefault="003539BC" w:rsidP="007D5603">
      <w:pPr>
        <w:ind w:firstLine="708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539BC" w:rsidRPr="007D5603" w:rsidRDefault="003539BC" w:rsidP="007D5603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Целью работы администрации округа в сфере молодежной политики является </w:t>
      </w:r>
      <w:r w:rsidRPr="00A57B15">
        <w:rPr>
          <w:rStyle w:val="af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A57B15">
        <w:rPr>
          <w:sz w:val="24"/>
          <w:szCs w:val="24"/>
        </w:rPr>
        <w:t>округа</w:t>
      </w:r>
      <w:r w:rsidRPr="00A57B15">
        <w:rPr>
          <w:rStyle w:val="af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Достижение этой цели в 2021-2023 годах планируется в ходе реализации</w:t>
      </w:r>
      <w:r w:rsidRPr="00A57B15">
        <w:rPr>
          <w:bCs/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муниципальной программы «Физическая культура, спорт и молодежная политика на 2014 – 2025 годы» </w:t>
      </w:r>
      <w:r w:rsidRPr="00A57B15">
        <w:rPr>
          <w:bCs/>
          <w:sz w:val="24"/>
          <w:szCs w:val="24"/>
        </w:rPr>
        <w:t>под</w:t>
      </w:r>
      <w:r w:rsidRPr="00A57B15">
        <w:rPr>
          <w:sz w:val="24"/>
          <w:szCs w:val="24"/>
        </w:rPr>
        <w:t xml:space="preserve">программы 2 «Молодежная политика». 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результате выполнения мероприятий муниципальной программы планируется в период с 2021 по 2023 годы провести более 400 мероприятий, участниками которых станут более 14 000 молодых жителей города, а зрителями – более 22 000 человек.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целях организации занятости молодежи, совместно с Центром занятости населения г. Сосновый Бор будет организовано более 50 трудовых бригад – трудоустроено более 1000 человек, а также достигнуты следующие результаты: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снижение напряженности на молодежном рынке труда, повышение компетентности молодых людей в вопросах профессиональной самореализации;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повышение деловой и социальной активности студентов и профессионально обучающейся молодежи;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увеличение количества детских и молодежных общественных объединений;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создание информационного пространства, позволяющего повысить эффективность информационного обеспечения, как самой молодежи, так и молодежной политики; 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- формирование в молодежной среде гражданско-патриотического отношения к малой Родине, уважения к её истории, культуре, традициям, уважения к государственности России;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организация социально значимых форм досуга, формирование социальной среды, способствующей утверждению норм </w:t>
      </w:r>
      <w:proofErr w:type="spellStart"/>
      <w:r w:rsidRPr="00A57B15">
        <w:rPr>
          <w:sz w:val="24"/>
          <w:szCs w:val="24"/>
        </w:rPr>
        <w:t>антинаркотического</w:t>
      </w:r>
      <w:proofErr w:type="spellEnd"/>
      <w:r w:rsidRPr="00A57B15">
        <w:rPr>
          <w:sz w:val="24"/>
          <w:szCs w:val="24"/>
        </w:rPr>
        <w:t xml:space="preserve"> и антиалкогольного общения молодых людей, реализации их социальной активности и позитивной направленности жизнедеятельности.</w:t>
      </w:r>
    </w:p>
    <w:p w:rsidR="003539BC" w:rsidRPr="00A57B15" w:rsidRDefault="003539BC" w:rsidP="003539BC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в прогнозируемом периоде планируется продолжение функционирования МАУ «Молодежный центр «Диалог» и запуск первого </w:t>
      </w:r>
      <w:proofErr w:type="spellStart"/>
      <w:r w:rsidRPr="00A57B15">
        <w:rPr>
          <w:sz w:val="24"/>
          <w:szCs w:val="24"/>
        </w:rPr>
        <w:t>коворкинг-центра</w:t>
      </w:r>
      <w:proofErr w:type="spellEnd"/>
      <w:r w:rsidRPr="00A57B15">
        <w:rPr>
          <w:sz w:val="24"/>
          <w:szCs w:val="24"/>
        </w:rPr>
        <w:t xml:space="preserve"> для молодых жителей округа. </w:t>
      </w:r>
    </w:p>
    <w:p w:rsidR="003539BC" w:rsidRPr="00A57B15" w:rsidRDefault="003539BC" w:rsidP="003539B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5119"/>
      </w:tblGrid>
      <w:tr w:rsidR="003539BC" w:rsidRPr="00A57B15" w:rsidTr="003539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keepNext/>
              <w:tabs>
                <w:tab w:val="num" w:pos="993"/>
              </w:tabs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keepNext/>
              <w:tabs>
                <w:tab w:val="num" w:pos="993"/>
              </w:tabs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3539BC" w:rsidRPr="00A57B15" w:rsidTr="003539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keepNext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1.Отсутствие Федерального закона «О молодёжи и государственной молодёжной политике Российской Федерации», определяющего правовой статус молодёжи и условия регулирования молодёжной политики в стране.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keepNext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1.Внесение предложений в будущий Федеральный закон «О молодёжи и государственной молодёжной политике Российской Федерации».</w:t>
            </w:r>
          </w:p>
        </w:tc>
      </w:tr>
      <w:tr w:rsidR="003539BC" w:rsidRPr="00A57B15" w:rsidTr="003539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2.Отсутствие муниципального молодёжного форума или другой временной площадки для получения новых компетенций молодёжью;</w:t>
            </w: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3.Отсутствие новых мероприятий для молодых жителей округа;</w:t>
            </w: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4.Увеличение нагрузки на сотрудников отдела по молодёжной политике в связи с расширением функций и реализацией федерального проекта «Социальная активность» национального проекта «Образования»;</w:t>
            </w: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5.Увеличение нагрузки на сотрудников МАУ «МЦ «Диалог» по причине повышения количества трудоустраиваемых несовершеннолетних жителей округа;</w:t>
            </w:r>
          </w:p>
          <w:p w:rsidR="003539BC" w:rsidRPr="00A57B15" w:rsidRDefault="003539BC" w:rsidP="003539BC">
            <w:pPr>
              <w:pStyle w:val="aff3"/>
              <w:ind w:left="0"/>
              <w:rPr>
                <w:bCs/>
              </w:rPr>
            </w:pPr>
          </w:p>
          <w:p w:rsidR="003539BC" w:rsidRPr="00A57B15" w:rsidRDefault="003539BC" w:rsidP="00DF3725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6.Отсутствие единого, свободного, открытого пространства нового формата, которое могло вместить в себя больше категорий молодых людей;</w:t>
            </w:r>
          </w:p>
          <w:p w:rsidR="003539BC" w:rsidRPr="00A57B15" w:rsidRDefault="003539BC" w:rsidP="003539BC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7.Нехватка качественного и всестороннего обучения для специалистов сферы молодёжная политика.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2.Выделение средств на организацию и проведение муниципального молодёжного форума;</w:t>
            </w: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3.Внедрение инновационных форм работы с молодым населением округа;</w:t>
            </w:r>
          </w:p>
          <w:p w:rsidR="003539BC" w:rsidRPr="00A57B15" w:rsidRDefault="003539BC" w:rsidP="003539BC">
            <w:pPr>
              <w:pStyle w:val="aff3"/>
              <w:ind w:left="0"/>
              <w:rPr>
                <w:bCs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4-5.Расширение штатной численности сотрудников отдела по молодёжной политике администрации и МАУ «МЦ «Диалог»;</w:t>
            </w: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6.Запуск сети открытых площадок для молодёжи (</w:t>
            </w:r>
            <w:proofErr w:type="spellStart"/>
            <w:r w:rsidRPr="00A57B15">
              <w:rPr>
                <w:bCs/>
                <w:sz w:val="24"/>
                <w:szCs w:val="24"/>
              </w:rPr>
              <w:t>коворкинг-центров</w:t>
            </w:r>
            <w:proofErr w:type="spellEnd"/>
            <w:r w:rsidRPr="00A57B15">
              <w:rPr>
                <w:bCs/>
                <w:sz w:val="24"/>
                <w:szCs w:val="24"/>
              </w:rPr>
              <w:t>);</w:t>
            </w: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539BC" w:rsidRPr="00A57B15" w:rsidRDefault="003539BC" w:rsidP="003539BC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7.Реализация проекта «Школа специалистов молодёжной политики» (обучение сотрудников отдела по молодёжной политике, МАУ «МЦ «Диалог», начальников и бригадиров молодёжных трудовых бригад, руководителей молодёжных общественных объединений).</w:t>
            </w:r>
          </w:p>
        </w:tc>
      </w:tr>
    </w:tbl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9C4AF0" w:rsidP="009C4AF0">
      <w:pPr>
        <w:rPr>
          <w:sz w:val="24"/>
          <w:szCs w:val="24"/>
        </w:rPr>
      </w:pPr>
    </w:p>
    <w:p w:rsidR="009C4AF0" w:rsidRPr="00A57B15" w:rsidRDefault="00660E73" w:rsidP="00055331">
      <w:pPr>
        <w:pStyle w:val="3"/>
      </w:pPr>
      <w:bookmarkStart w:id="62" w:name="_Toc424304184"/>
      <w:bookmarkStart w:id="63" w:name="_Toc52186991"/>
      <w:bookmarkEnd w:id="0"/>
      <w:r w:rsidRPr="00A57B15">
        <w:t>7</w:t>
      </w:r>
      <w:r w:rsidR="009C4AF0" w:rsidRPr="00A57B15">
        <w:t>. Природопользование и экологическая безопасность</w:t>
      </w:r>
      <w:bookmarkEnd w:id="62"/>
      <w:bookmarkEnd w:id="63"/>
    </w:p>
    <w:p w:rsidR="009C4AF0" w:rsidRPr="00A57B15" w:rsidRDefault="009C4AF0" w:rsidP="009C4AF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8B2B47" w:rsidRPr="00A57B15" w:rsidRDefault="008B2B47" w:rsidP="008B2B47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8B2B47" w:rsidRPr="00A57B15" w:rsidRDefault="008B2B47" w:rsidP="008B2B4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lastRenderedPageBreak/>
        <w:t>В 2020 году, в связи с письмом, поступившим в администрацию Сосновоборского городского округа из АО «Концерн Росэнергоатом», приостановлена организационная работа по обеспечению водоснабжения населения и предприятий города на случай ЧС и в режиме нормальной эксплуатации, которая проводилась в соответствии с Концепцией хозяйственно-питьевого водоснабжения населения Сосновоборского городского округа с учетом развития предприятий атомной энергетики.</w:t>
      </w:r>
      <w:proofErr w:type="gramEnd"/>
    </w:p>
    <w:p w:rsidR="008B2B47" w:rsidRPr="00A57B15" w:rsidRDefault="008B2B47" w:rsidP="008B2B4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ожидается решение следующих вопросов в сфере природопользования, охраны окружающей среды и экологической безопасности:</w:t>
      </w:r>
    </w:p>
    <w:p w:rsidR="008B2B47" w:rsidRPr="00A57B15" w:rsidRDefault="008B2B47" w:rsidP="008B2B4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Предусмотрено финансирование мероприятий по охране окружающей среды в массивах зеленых насаждений Сосновоборского городского округа в рамках подпрограммы № 8 «Организация мероприятий по охране окружающей среды на территории Сосновоборского городского округа на 2014-2020 годы» муниципальной программы «Городское хозяйство на 2014-2024 годы», утвержденной постановлением  администрации  Сосновоборского  городского  округа  от  27.11.2013 № 2904 (с изменениями). </w:t>
      </w:r>
      <w:proofErr w:type="gramStart"/>
      <w:r w:rsidRPr="00A57B15">
        <w:rPr>
          <w:sz w:val="24"/>
          <w:szCs w:val="24"/>
        </w:rPr>
        <w:t xml:space="preserve">Заключен муниципальный контракт </w:t>
      </w:r>
      <w:r w:rsidRPr="00A57B15">
        <w:rPr>
          <w:bCs/>
          <w:kern w:val="32"/>
          <w:sz w:val="24"/>
          <w:szCs w:val="24"/>
        </w:rPr>
        <w:t xml:space="preserve">№ </w:t>
      </w:r>
      <w:r w:rsidRPr="00A57B15">
        <w:rPr>
          <w:sz w:val="24"/>
          <w:szCs w:val="24"/>
        </w:rPr>
        <w:t>0145300000120000090-0050531-01 от 28.05.2020 с ИП Кириленко Н.А. на «Оказание услуг по охране и защите зон зеленых насаждений на территории муниципального образования Сосновоборский городской округ» на сумму 390102,17 рублей, в рамках которого запланированы мероприятия: уход за минерализованными полосами зон зеленых насаждений, снос сухостойных, ветровальных и аварийных зеленых насаждений, очистка зон зеленых насаждений от захламления, установка аншлагов.</w:t>
      </w:r>
      <w:proofErr w:type="gramEnd"/>
    </w:p>
    <w:p w:rsidR="008B2B47" w:rsidRPr="00A57B15" w:rsidRDefault="008B2B47" w:rsidP="008B2B4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Решается проблема обращения с твердыми коммунальными отходами (далее по тексту – ТКО), в том числе в части ликвидации несанкционированных свалок, на территории Сосновоборского городского округа силами регионального оператора по обращению с ТКО.</w:t>
      </w:r>
    </w:p>
    <w:p w:rsidR="008B2B47" w:rsidRPr="00A57B15" w:rsidRDefault="008B2B47" w:rsidP="008B2B47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Поддерживается раздел «Экология» на официальном сайте Сосновоборского городского округа.</w:t>
      </w:r>
    </w:p>
    <w:p w:rsidR="008B2B47" w:rsidRPr="00A57B15" w:rsidRDefault="008B2B47" w:rsidP="008B2B47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8B2B47" w:rsidRPr="00A57B15" w:rsidRDefault="008B2B47" w:rsidP="008B2B47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57B15">
        <w:rPr>
          <w:sz w:val="24"/>
          <w:szCs w:val="24"/>
        </w:rPr>
        <w:t xml:space="preserve">В целях соблюдения природоохранного законодательства, рационального использования природных ресурсов, сохранения и улучшения качества окружающей природной среды, осуществления принципов ресурсосбережения, обеспечения экологической безопасности (защита от возможного негативного воздействия выбросов и сбросов промышленных предприятий, загрязнения окружающей среды), а также в соответствии с Указом Президента Российской Федерации от 07.05.2018 № 204 и компетенцией органов местного самоуправления городского округа должны быть решены следующие задачи: </w:t>
      </w:r>
      <w:proofErr w:type="gramEnd"/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 xml:space="preserve">- осуществить проектирование и строительство основного и резервного подземных </w:t>
      </w:r>
      <w:proofErr w:type="spellStart"/>
      <w:r w:rsidRPr="00A57B15">
        <w:rPr>
          <w:sz w:val="24"/>
          <w:szCs w:val="24"/>
        </w:rPr>
        <w:t>водоисточников</w:t>
      </w:r>
      <w:proofErr w:type="spellEnd"/>
      <w:r w:rsidRPr="00A57B15">
        <w:rPr>
          <w:sz w:val="24"/>
          <w:szCs w:val="24"/>
        </w:rPr>
        <w:t xml:space="preserve"> с учетом строительства замещающих мощностей (Ленинградская АЭС-2) на территории Сосновоборского городского округа;</w:t>
      </w:r>
      <w:proofErr w:type="gramEnd"/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осуществить контроль выполнения работ по рекультивации территории закрытой городской свалки в районе </w:t>
      </w:r>
      <w:proofErr w:type="spellStart"/>
      <w:r w:rsidRPr="00A57B15">
        <w:rPr>
          <w:sz w:val="24"/>
          <w:szCs w:val="24"/>
        </w:rPr>
        <w:t>Ракопежи</w:t>
      </w:r>
      <w:proofErr w:type="spellEnd"/>
      <w:r w:rsidRPr="00A57B15">
        <w:rPr>
          <w:sz w:val="24"/>
          <w:szCs w:val="24"/>
        </w:rPr>
        <w:t>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 принять участие в реализации мусорной реформы на территории Ленинградской области;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 принять участие в создании современной инфраструктуры, обеспечивающей безопасное обращение с отходами I и II классов опасности;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продолжить проведение муниципального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Сосновоборского городского округа;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создать условия по привлечению инвестиций в решение проблем обращения с вторичными ресурсами;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 осуществлять взаимодействие с Комитетом по природным ресурсам Ленинградской области на всех этапах очистки реки </w:t>
      </w:r>
      <w:proofErr w:type="spellStart"/>
      <w:r w:rsidRPr="00A57B15">
        <w:rPr>
          <w:sz w:val="24"/>
          <w:szCs w:val="24"/>
        </w:rPr>
        <w:t>Глуховка</w:t>
      </w:r>
      <w:proofErr w:type="spellEnd"/>
      <w:r w:rsidRPr="00A57B15">
        <w:rPr>
          <w:sz w:val="24"/>
          <w:szCs w:val="24"/>
        </w:rPr>
        <w:t xml:space="preserve"> на территории парка </w:t>
      </w:r>
      <w:proofErr w:type="gramStart"/>
      <w:r w:rsidRPr="00A57B15">
        <w:rPr>
          <w:sz w:val="24"/>
          <w:szCs w:val="24"/>
        </w:rPr>
        <w:t>Приморский</w:t>
      </w:r>
      <w:proofErr w:type="gramEnd"/>
      <w:r w:rsidRPr="00A57B15">
        <w:rPr>
          <w:sz w:val="24"/>
          <w:szCs w:val="24"/>
        </w:rPr>
        <w:t xml:space="preserve">; 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- принять меры по </w:t>
      </w:r>
      <w:proofErr w:type="spellStart"/>
      <w:r w:rsidRPr="00A57B15">
        <w:rPr>
          <w:sz w:val="24"/>
          <w:szCs w:val="24"/>
        </w:rPr>
        <w:t>берегоукреплению</w:t>
      </w:r>
      <w:proofErr w:type="spellEnd"/>
      <w:r w:rsidRPr="00A57B15">
        <w:rPr>
          <w:sz w:val="24"/>
          <w:szCs w:val="24"/>
        </w:rPr>
        <w:t xml:space="preserve"> </w:t>
      </w:r>
      <w:proofErr w:type="spellStart"/>
      <w:r w:rsidRPr="00A57B15">
        <w:rPr>
          <w:sz w:val="24"/>
          <w:szCs w:val="24"/>
        </w:rPr>
        <w:t>р</w:t>
      </w:r>
      <w:proofErr w:type="gramStart"/>
      <w:r w:rsidRPr="00A57B15">
        <w:rPr>
          <w:sz w:val="24"/>
          <w:szCs w:val="24"/>
        </w:rPr>
        <w:t>.К</w:t>
      </w:r>
      <w:proofErr w:type="gramEnd"/>
      <w:r w:rsidRPr="00A57B15">
        <w:rPr>
          <w:sz w:val="24"/>
          <w:szCs w:val="24"/>
        </w:rPr>
        <w:t>оваши</w:t>
      </w:r>
      <w:proofErr w:type="spellEnd"/>
      <w:r w:rsidRPr="00A57B15">
        <w:rPr>
          <w:sz w:val="24"/>
          <w:szCs w:val="24"/>
        </w:rPr>
        <w:t xml:space="preserve"> в селитебной части города (район ул. Комсомольская); 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принять меры по организации и очистке ливневых стоков с территории города на выпусках в водные объекты;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выполнить мероприятия по охране окружающей среды в массивах зеленых насаждений Сосновоборского городского округа;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содействовать  информированию и экологическому воспитанию и образованию населения Сосновоборского городского округа.</w:t>
      </w:r>
    </w:p>
    <w:p w:rsidR="008B2B47" w:rsidRPr="00A57B15" w:rsidRDefault="008B2B47" w:rsidP="008B2B47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2"/>
        <w:gridCol w:w="5247"/>
      </w:tblGrid>
      <w:tr w:rsidR="008B2B47" w:rsidRPr="00A57B15" w:rsidTr="000E4A30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Основные проблемы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Предполагаемые пути решения</w:t>
            </w:r>
          </w:p>
        </w:tc>
      </w:tr>
      <w:tr w:rsidR="008B2B47" w:rsidRPr="00A57B15" w:rsidTr="000E4A30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1. В части водоснабжения: недостаточные объемы и качество вод незащищенного поверхностного источника водоснабжения – р. </w:t>
            </w:r>
            <w:proofErr w:type="spellStart"/>
            <w:r w:rsidRPr="00A57B15">
              <w:rPr>
                <w:sz w:val="24"/>
                <w:szCs w:val="24"/>
              </w:rPr>
              <w:t>Систа</w:t>
            </w:r>
            <w:proofErr w:type="spellEnd"/>
            <w:r w:rsidRPr="00A57B15">
              <w:rPr>
                <w:sz w:val="24"/>
                <w:szCs w:val="24"/>
              </w:rPr>
              <w:t>. Требование законодательства РФ о необходимости иметь защищенный подземный источник хозяйственно-питьевого водоснабжения.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Проектирование и строительство системы водоснабжения из подземного источника за счет средств на строительство Ленинградской АЭС-2 и бюджета Ленинградской области</w:t>
            </w:r>
          </w:p>
        </w:tc>
      </w:tr>
      <w:tr w:rsidR="008B2B47" w:rsidRPr="00A57B15" w:rsidTr="000E4A30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В части организации очистки ливневых стоков: отсутствует очистка ливневых стоков.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 Проектирование и строительство локальных очистных сооружений на ливневых выпусках с территории города.</w:t>
            </w:r>
          </w:p>
        </w:tc>
      </w:tr>
      <w:tr w:rsidR="008B2B47" w:rsidRPr="00A57B15" w:rsidTr="000E4A30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3. В части </w:t>
            </w:r>
            <w:proofErr w:type="spellStart"/>
            <w:r w:rsidRPr="00A57B15">
              <w:rPr>
                <w:sz w:val="24"/>
                <w:szCs w:val="24"/>
              </w:rPr>
              <w:t>берегоукрепления</w:t>
            </w:r>
            <w:proofErr w:type="spellEnd"/>
            <w:r w:rsidRPr="00A57B15">
              <w:rPr>
                <w:sz w:val="24"/>
                <w:szCs w:val="24"/>
              </w:rPr>
              <w:t>: угроза инженерным сетям и разрушение берега реки Коваши в районе ул. Комсомольская.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B47" w:rsidRPr="00A57B15" w:rsidRDefault="008B2B47" w:rsidP="000E4A30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Проектирование и выполнение работ за счет средств землепользователей (условие предоставления земельного участка), за счет средств местного бюджета (в случае угрозы муниципальным объектам).</w:t>
            </w:r>
          </w:p>
        </w:tc>
      </w:tr>
    </w:tbl>
    <w:p w:rsidR="00986B56" w:rsidRDefault="00986B56" w:rsidP="00304A88"/>
    <w:sectPr w:rsidR="00986B56" w:rsidSect="0034452E">
      <w:footerReference w:type="default" r:id="rId15"/>
      <w:pgSz w:w="11906" w:h="16838"/>
      <w:pgMar w:top="1021" w:right="851" w:bottom="1021" w:left="1418" w:header="72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A0" w:rsidRDefault="007B04A0" w:rsidP="009C4AF0">
      <w:r>
        <w:separator/>
      </w:r>
    </w:p>
  </w:endnote>
  <w:endnote w:type="continuationSeparator" w:id="0">
    <w:p w:rsidR="007B04A0" w:rsidRDefault="007B04A0" w:rsidP="009C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2749"/>
      <w:docPartObj>
        <w:docPartGallery w:val="Page Numbers (Bottom of Page)"/>
        <w:docPartUnique/>
      </w:docPartObj>
    </w:sdtPr>
    <w:sdtContent>
      <w:p w:rsidR="00BB76B2" w:rsidRDefault="003D68D0">
        <w:pPr>
          <w:pStyle w:val="a5"/>
          <w:jc w:val="right"/>
        </w:pPr>
        <w:fldSimple w:instr=" PAGE   \* MERGEFORMAT ">
          <w:r w:rsidR="00B41C60">
            <w:rPr>
              <w:noProof/>
            </w:rPr>
            <w:t>2</w:t>
          </w:r>
        </w:fldSimple>
      </w:p>
    </w:sdtContent>
  </w:sdt>
  <w:p w:rsidR="00BB76B2" w:rsidRDefault="00BB7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A0" w:rsidRDefault="007B04A0" w:rsidP="009C4AF0">
      <w:r>
        <w:separator/>
      </w:r>
    </w:p>
  </w:footnote>
  <w:footnote w:type="continuationSeparator" w:id="0">
    <w:p w:rsidR="007B04A0" w:rsidRDefault="007B04A0" w:rsidP="009C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6C"/>
    <w:multiLevelType w:val="hybridMultilevel"/>
    <w:tmpl w:val="CE149040"/>
    <w:lvl w:ilvl="0" w:tplc="E6803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B3492"/>
    <w:multiLevelType w:val="hybridMultilevel"/>
    <w:tmpl w:val="7C3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792"/>
    <w:multiLevelType w:val="hybridMultilevel"/>
    <w:tmpl w:val="CDB429DE"/>
    <w:lvl w:ilvl="0" w:tplc="960A963E">
      <w:start w:val="1"/>
      <w:numFmt w:val="decimal"/>
      <w:pStyle w:val="030"/>
      <w:lvlText w:val="%1."/>
      <w:lvlJc w:val="left"/>
      <w:pPr>
        <w:tabs>
          <w:tab w:val="num" w:pos="-360"/>
        </w:tabs>
        <w:ind w:left="-475" w:hanging="245"/>
      </w:pPr>
      <w:rPr>
        <w:rFonts w:ascii="Book Antiqua" w:eastAsia="Times New Roman" w:hAnsi="Book Antiqua" w:cs="Times New Roman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0901A16"/>
    <w:multiLevelType w:val="hybridMultilevel"/>
    <w:tmpl w:val="DC9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4EEC"/>
    <w:multiLevelType w:val="multilevel"/>
    <w:tmpl w:val="8648F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7E0580"/>
    <w:multiLevelType w:val="hybridMultilevel"/>
    <w:tmpl w:val="247624A8"/>
    <w:lvl w:ilvl="0" w:tplc="FA72A2D4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7477DAA"/>
    <w:multiLevelType w:val="hybridMultilevel"/>
    <w:tmpl w:val="5B286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D6A7E74"/>
    <w:multiLevelType w:val="hybridMultilevel"/>
    <w:tmpl w:val="93940AAC"/>
    <w:lvl w:ilvl="0" w:tplc="D6AE806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412BB"/>
    <w:multiLevelType w:val="hybridMultilevel"/>
    <w:tmpl w:val="AB86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40583A"/>
    <w:multiLevelType w:val="hybridMultilevel"/>
    <w:tmpl w:val="48E83AB2"/>
    <w:lvl w:ilvl="0" w:tplc="8EEEA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63ABF"/>
    <w:multiLevelType w:val="hybridMultilevel"/>
    <w:tmpl w:val="239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B61D9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72B97"/>
    <w:multiLevelType w:val="hybridMultilevel"/>
    <w:tmpl w:val="AE544620"/>
    <w:lvl w:ilvl="0" w:tplc="CDFE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555B9"/>
    <w:multiLevelType w:val="hybridMultilevel"/>
    <w:tmpl w:val="ACB67220"/>
    <w:lvl w:ilvl="0" w:tplc="D1FA1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5F10"/>
    <w:multiLevelType w:val="hybridMultilevel"/>
    <w:tmpl w:val="57ACB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84EB5"/>
    <w:multiLevelType w:val="hybridMultilevel"/>
    <w:tmpl w:val="34CAA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7337"/>
    <w:multiLevelType w:val="hybridMultilevel"/>
    <w:tmpl w:val="31C00CA4"/>
    <w:lvl w:ilvl="0" w:tplc="7252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05CB9"/>
    <w:multiLevelType w:val="hybridMultilevel"/>
    <w:tmpl w:val="DBD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1466A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3CF5"/>
    <w:multiLevelType w:val="hybridMultilevel"/>
    <w:tmpl w:val="FA74E8D2"/>
    <w:lvl w:ilvl="0" w:tplc="0C3A90D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7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c52f77-c8b6-4af2-ac2e-34b01f198915"/>
  </w:docVars>
  <w:rsids>
    <w:rsidRoot w:val="009C4AF0"/>
    <w:rsid w:val="00005856"/>
    <w:rsid w:val="00014692"/>
    <w:rsid w:val="000230E3"/>
    <w:rsid w:val="000404F5"/>
    <w:rsid w:val="00041F16"/>
    <w:rsid w:val="00054A3C"/>
    <w:rsid w:val="00055331"/>
    <w:rsid w:val="000561F2"/>
    <w:rsid w:val="000562C3"/>
    <w:rsid w:val="00057AB4"/>
    <w:rsid w:val="00061FBC"/>
    <w:rsid w:val="00077AF7"/>
    <w:rsid w:val="00096272"/>
    <w:rsid w:val="000A0289"/>
    <w:rsid w:val="000B0B5B"/>
    <w:rsid w:val="000B6E48"/>
    <w:rsid w:val="000D268A"/>
    <w:rsid w:val="000E4A30"/>
    <w:rsid w:val="000E6A29"/>
    <w:rsid w:val="000F120C"/>
    <w:rsid w:val="000F26AA"/>
    <w:rsid w:val="000F3741"/>
    <w:rsid w:val="000F4A5E"/>
    <w:rsid w:val="000F66C5"/>
    <w:rsid w:val="0010386A"/>
    <w:rsid w:val="00124ABE"/>
    <w:rsid w:val="001310C1"/>
    <w:rsid w:val="001312FE"/>
    <w:rsid w:val="00142A31"/>
    <w:rsid w:val="0014354D"/>
    <w:rsid w:val="00143FDD"/>
    <w:rsid w:val="00152546"/>
    <w:rsid w:val="00155207"/>
    <w:rsid w:val="001639F5"/>
    <w:rsid w:val="001807B1"/>
    <w:rsid w:val="001820E1"/>
    <w:rsid w:val="00182D47"/>
    <w:rsid w:val="001839C1"/>
    <w:rsid w:val="00186C23"/>
    <w:rsid w:val="001A4BE7"/>
    <w:rsid w:val="001C7573"/>
    <w:rsid w:val="001D0766"/>
    <w:rsid w:val="001E54C9"/>
    <w:rsid w:val="001E6921"/>
    <w:rsid w:val="00207A5B"/>
    <w:rsid w:val="00222A92"/>
    <w:rsid w:val="00222B38"/>
    <w:rsid w:val="00230F26"/>
    <w:rsid w:val="00254DAD"/>
    <w:rsid w:val="00266C47"/>
    <w:rsid w:val="00284D9B"/>
    <w:rsid w:val="0029239F"/>
    <w:rsid w:val="002B5CAE"/>
    <w:rsid w:val="002B666D"/>
    <w:rsid w:val="002C03F1"/>
    <w:rsid w:val="002C0C19"/>
    <w:rsid w:val="002C40DC"/>
    <w:rsid w:val="002D16E3"/>
    <w:rsid w:val="002D3F4F"/>
    <w:rsid w:val="002D7EA0"/>
    <w:rsid w:val="002E24E2"/>
    <w:rsid w:val="002F1F0B"/>
    <w:rsid w:val="00300D43"/>
    <w:rsid w:val="00304A88"/>
    <w:rsid w:val="00313359"/>
    <w:rsid w:val="003135E2"/>
    <w:rsid w:val="00342885"/>
    <w:rsid w:val="0034452E"/>
    <w:rsid w:val="003472B9"/>
    <w:rsid w:val="003539BC"/>
    <w:rsid w:val="003600A3"/>
    <w:rsid w:val="0036517E"/>
    <w:rsid w:val="003669CE"/>
    <w:rsid w:val="00372AC7"/>
    <w:rsid w:val="003859F2"/>
    <w:rsid w:val="0039043C"/>
    <w:rsid w:val="00390E6D"/>
    <w:rsid w:val="003A057D"/>
    <w:rsid w:val="003B0095"/>
    <w:rsid w:val="003B0E9B"/>
    <w:rsid w:val="003B6065"/>
    <w:rsid w:val="003C073C"/>
    <w:rsid w:val="003C4698"/>
    <w:rsid w:val="003C4AD1"/>
    <w:rsid w:val="003C762C"/>
    <w:rsid w:val="003C7EA9"/>
    <w:rsid w:val="003D3DB1"/>
    <w:rsid w:val="003D5933"/>
    <w:rsid w:val="003D68D0"/>
    <w:rsid w:val="003F0629"/>
    <w:rsid w:val="003F127C"/>
    <w:rsid w:val="0040422C"/>
    <w:rsid w:val="00411AA3"/>
    <w:rsid w:val="00412477"/>
    <w:rsid w:val="00416628"/>
    <w:rsid w:val="0043310A"/>
    <w:rsid w:val="004516FC"/>
    <w:rsid w:val="00456003"/>
    <w:rsid w:val="004578B9"/>
    <w:rsid w:val="00460FB2"/>
    <w:rsid w:val="00470D2D"/>
    <w:rsid w:val="004876EB"/>
    <w:rsid w:val="00492F5B"/>
    <w:rsid w:val="004B57D7"/>
    <w:rsid w:val="004B6120"/>
    <w:rsid w:val="004D1D1D"/>
    <w:rsid w:val="004D2BE1"/>
    <w:rsid w:val="004F4405"/>
    <w:rsid w:val="00501B8C"/>
    <w:rsid w:val="0050222D"/>
    <w:rsid w:val="00502B04"/>
    <w:rsid w:val="00510125"/>
    <w:rsid w:val="00515AAE"/>
    <w:rsid w:val="00520449"/>
    <w:rsid w:val="0052730B"/>
    <w:rsid w:val="00534953"/>
    <w:rsid w:val="005425F4"/>
    <w:rsid w:val="005430C9"/>
    <w:rsid w:val="00544051"/>
    <w:rsid w:val="0054739C"/>
    <w:rsid w:val="005521C7"/>
    <w:rsid w:val="00553F21"/>
    <w:rsid w:val="00555CC8"/>
    <w:rsid w:val="00567499"/>
    <w:rsid w:val="00581341"/>
    <w:rsid w:val="00593C63"/>
    <w:rsid w:val="005A3BC9"/>
    <w:rsid w:val="005A42B1"/>
    <w:rsid w:val="005A51CA"/>
    <w:rsid w:val="005A72BA"/>
    <w:rsid w:val="005B1935"/>
    <w:rsid w:val="005B6076"/>
    <w:rsid w:val="005B7199"/>
    <w:rsid w:val="005D0180"/>
    <w:rsid w:val="005D78AB"/>
    <w:rsid w:val="005E1865"/>
    <w:rsid w:val="006078E7"/>
    <w:rsid w:val="00614975"/>
    <w:rsid w:val="0061518A"/>
    <w:rsid w:val="00634EF4"/>
    <w:rsid w:val="00637B4E"/>
    <w:rsid w:val="0065584E"/>
    <w:rsid w:val="00660E73"/>
    <w:rsid w:val="00665147"/>
    <w:rsid w:val="00672D37"/>
    <w:rsid w:val="00673B9D"/>
    <w:rsid w:val="00675C6F"/>
    <w:rsid w:val="00683392"/>
    <w:rsid w:val="006833FB"/>
    <w:rsid w:val="00684320"/>
    <w:rsid w:val="00685E11"/>
    <w:rsid w:val="00690FB1"/>
    <w:rsid w:val="00696F28"/>
    <w:rsid w:val="006A5EBA"/>
    <w:rsid w:val="006B1D5B"/>
    <w:rsid w:val="006B400D"/>
    <w:rsid w:val="006B66CA"/>
    <w:rsid w:val="006B7258"/>
    <w:rsid w:val="006D0065"/>
    <w:rsid w:val="006D125D"/>
    <w:rsid w:val="006D2908"/>
    <w:rsid w:val="006D3233"/>
    <w:rsid w:val="006E2870"/>
    <w:rsid w:val="006F21B8"/>
    <w:rsid w:val="006F2C51"/>
    <w:rsid w:val="006F3112"/>
    <w:rsid w:val="006F3886"/>
    <w:rsid w:val="006F63A8"/>
    <w:rsid w:val="00704740"/>
    <w:rsid w:val="007052C3"/>
    <w:rsid w:val="00706384"/>
    <w:rsid w:val="007158B7"/>
    <w:rsid w:val="007222FE"/>
    <w:rsid w:val="00723105"/>
    <w:rsid w:val="00723B7C"/>
    <w:rsid w:val="0073256F"/>
    <w:rsid w:val="007339C4"/>
    <w:rsid w:val="00734536"/>
    <w:rsid w:val="007362DD"/>
    <w:rsid w:val="00744B62"/>
    <w:rsid w:val="00761875"/>
    <w:rsid w:val="00766982"/>
    <w:rsid w:val="00780C87"/>
    <w:rsid w:val="007963E1"/>
    <w:rsid w:val="007A54EC"/>
    <w:rsid w:val="007A65D2"/>
    <w:rsid w:val="007B04A0"/>
    <w:rsid w:val="007B2BB7"/>
    <w:rsid w:val="007C3791"/>
    <w:rsid w:val="007C7E8C"/>
    <w:rsid w:val="007D3C01"/>
    <w:rsid w:val="007D4667"/>
    <w:rsid w:val="007D5603"/>
    <w:rsid w:val="007E321A"/>
    <w:rsid w:val="007E4855"/>
    <w:rsid w:val="007F45B3"/>
    <w:rsid w:val="00802361"/>
    <w:rsid w:val="00805F1E"/>
    <w:rsid w:val="0081196F"/>
    <w:rsid w:val="0081721D"/>
    <w:rsid w:val="00820666"/>
    <w:rsid w:val="00821021"/>
    <w:rsid w:val="00830544"/>
    <w:rsid w:val="00837C52"/>
    <w:rsid w:val="0084000B"/>
    <w:rsid w:val="008554B1"/>
    <w:rsid w:val="0086142F"/>
    <w:rsid w:val="00861AC8"/>
    <w:rsid w:val="00873311"/>
    <w:rsid w:val="0088303D"/>
    <w:rsid w:val="008909A4"/>
    <w:rsid w:val="0089734A"/>
    <w:rsid w:val="008B1C82"/>
    <w:rsid w:val="008B2355"/>
    <w:rsid w:val="008B2B47"/>
    <w:rsid w:val="008B59A9"/>
    <w:rsid w:val="008C054B"/>
    <w:rsid w:val="008E19ED"/>
    <w:rsid w:val="008E1F1C"/>
    <w:rsid w:val="008E6448"/>
    <w:rsid w:val="008F4566"/>
    <w:rsid w:val="008F6B55"/>
    <w:rsid w:val="009002C5"/>
    <w:rsid w:val="00911E52"/>
    <w:rsid w:val="0091354A"/>
    <w:rsid w:val="009143D2"/>
    <w:rsid w:val="0091618D"/>
    <w:rsid w:val="00917680"/>
    <w:rsid w:val="00917BF1"/>
    <w:rsid w:val="009268F8"/>
    <w:rsid w:val="0093600E"/>
    <w:rsid w:val="00941FC4"/>
    <w:rsid w:val="00965960"/>
    <w:rsid w:val="0097297B"/>
    <w:rsid w:val="0098408B"/>
    <w:rsid w:val="00986B56"/>
    <w:rsid w:val="00990647"/>
    <w:rsid w:val="009B3F4A"/>
    <w:rsid w:val="009B5442"/>
    <w:rsid w:val="009C021A"/>
    <w:rsid w:val="009C0DD1"/>
    <w:rsid w:val="009C21FC"/>
    <w:rsid w:val="009C288F"/>
    <w:rsid w:val="009C4AF0"/>
    <w:rsid w:val="009C7F78"/>
    <w:rsid w:val="009D6421"/>
    <w:rsid w:val="009E2C1E"/>
    <w:rsid w:val="009E3BF0"/>
    <w:rsid w:val="009F3D19"/>
    <w:rsid w:val="00A009ED"/>
    <w:rsid w:val="00A00FD3"/>
    <w:rsid w:val="00A051D6"/>
    <w:rsid w:val="00A10A19"/>
    <w:rsid w:val="00A27F7B"/>
    <w:rsid w:val="00A331BC"/>
    <w:rsid w:val="00A57B15"/>
    <w:rsid w:val="00A60AF3"/>
    <w:rsid w:val="00A73A2D"/>
    <w:rsid w:val="00A73C48"/>
    <w:rsid w:val="00A80D68"/>
    <w:rsid w:val="00A85305"/>
    <w:rsid w:val="00A85C03"/>
    <w:rsid w:val="00A907ED"/>
    <w:rsid w:val="00A910E7"/>
    <w:rsid w:val="00A92877"/>
    <w:rsid w:val="00A94C82"/>
    <w:rsid w:val="00AA10E6"/>
    <w:rsid w:val="00AA1779"/>
    <w:rsid w:val="00AA376D"/>
    <w:rsid w:val="00AB4546"/>
    <w:rsid w:val="00AC0B4E"/>
    <w:rsid w:val="00AC3ED5"/>
    <w:rsid w:val="00AC69D0"/>
    <w:rsid w:val="00AE5C33"/>
    <w:rsid w:val="00AE7EE2"/>
    <w:rsid w:val="00AF1CB9"/>
    <w:rsid w:val="00AF3356"/>
    <w:rsid w:val="00AF4432"/>
    <w:rsid w:val="00B03DC4"/>
    <w:rsid w:val="00B05ABA"/>
    <w:rsid w:val="00B1380E"/>
    <w:rsid w:val="00B15010"/>
    <w:rsid w:val="00B22300"/>
    <w:rsid w:val="00B3284C"/>
    <w:rsid w:val="00B37EB9"/>
    <w:rsid w:val="00B41C60"/>
    <w:rsid w:val="00B43A07"/>
    <w:rsid w:val="00B44186"/>
    <w:rsid w:val="00B46185"/>
    <w:rsid w:val="00B4728B"/>
    <w:rsid w:val="00B774FA"/>
    <w:rsid w:val="00B9421C"/>
    <w:rsid w:val="00BA0751"/>
    <w:rsid w:val="00BA7F0F"/>
    <w:rsid w:val="00BB0626"/>
    <w:rsid w:val="00BB76B2"/>
    <w:rsid w:val="00BC0E29"/>
    <w:rsid w:val="00BC62EF"/>
    <w:rsid w:val="00BD725F"/>
    <w:rsid w:val="00BD7CD5"/>
    <w:rsid w:val="00BE11B1"/>
    <w:rsid w:val="00BE1722"/>
    <w:rsid w:val="00BE4C4D"/>
    <w:rsid w:val="00BF45AB"/>
    <w:rsid w:val="00C06573"/>
    <w:rsid w:val="00C30E49"/>
    <w:rsid w:val="00C32EBA"/>
    <w:rsid w:val="00C36BD0"/>
    <w:rsid w:val="00C61CA6"/>
    <w:rsid w:val="00C6214A"/>
    <w:rsid w:val="00C67238"/>
    <w:rsid w:val="00C67E2C"/>
    <w:rsid w:val="00C80EA4"/>
    <w:rsid w:val="00C8623D"/>
    <w:rsid w:val="00C90755"/>
    <w:rsid w:val="00CA2882"/>
    <w:rsid w:val="00CA48B4"/>
    <w:rsid w:val="00CA7BCC"/>
    <w:rsid w:val="00CB5CFB"/>
    <w:rsid w:val="00CC6781"/>
    <w:rsid w:val="00CD2109"/>
    <w:rsid w:val="00CD53CB"/>
    <w:rsid w:val="00CE4784"/>
    <w:rsid w:val="00CE7659"/>
    <w:rsid w:val="00CF09E7"/>
    <w:rsid w:val="00CF24BE"/>
    <w:rsid w:val="00CF44EE"/>
    <w:rsid w:val="00CF77B3"/>
    <w:rsid w:val="00D01EAE"/>
    <w:rsid w:val="00D0692A"/>
    <w:rsid w:val="00D06AFD"/>
    <w:rsid w:val="00D06C0E"/>
    <w:rsid w:val="00D11B49"/>
    <w:rsid w:val="00D340BD"/>
    <w:rsid w:val="00D34877"/>
    <w:rsid w:val="00D41537"/>
    <w:rsid w:val="00D41796"/>
    <w:rsid w:val="00D41B24"/>
    <w:rsid w:val="00D424B1"/>
    <w:rsid w:val="00D51883"/>
    <w:rsid w:val="00D6009D"/>
    <w:rsid w:val="00D60CC9"/>
    <w:rsid w:val="00D61F89"/>
    <w:rsid w:val="00D65E40"/>
    <w:rsid w:val="00D71842"/>
    <w:rsid w:val="00D71D3A"/>
    <w:rsid w:val="00D7709E"/>
    <w:rsid w:val="00D80DDA"/>
    <w:rsid w:val="00D907F5"/>
    <w:rsid w:val="00DA5A23"/>
    <w:rsid w:val="00DA72CC"/>
    <w:rsid w:val="00DB4FD9"/>
    <w:rsid w:val="00DB6C80"/>
    <w:rsid w:val="00DC26C6"/>
    <w:rsid w:val="00DC5C4C"/>
    <w:rsid w:val="00DC6C52"/>
    <w:rsid w:val="00DC74CF"/>
    <w:rsid w:val="00DD10B0"/>
    <w:rsid w:val="00DF1E14"/>
    <w:rsid w:val="00DF3725"/>
    <w:rsid w:val="00E047A5"/>
    <w:rsid w:val="00E11551"/>
    <w:rsid w:val="00E17A60"/>
    <w:rsid w:val="00E30882"/>
    <w:rsid w:val="00E4201F"/>
    <w:rsid w:val="00E43A7A"/>
    <w:rsid w:val="00E50597"/>
    <w:rsid w:val="00E63FC5"/>
    <w:rsid w:val="00E65D36"/>
    <w:rsid w:val="00E76055"/>
    <w:rsid w:val="00E807FF"/>
    <w:rsid w:val="00E83C2B"/>
    <w:rsid w:val="00E97748"/>
    <w:rsid w:val="00EA1CBD"/>
    <w:rsid w:val="00EA40E7"/>
    <w:rsid w:val="00EA7161"/>
    <w:rsid w:val="00EB177A"/>
    <w:rsid w:val="00EB4D4B"/>
    <w:rsid w:val="00EB7828"/>
    <w:rsid w:val="00EC0342"/>
    <w:rsid w:val="00EC1329"/>
    <w:rsid w:val="00EC6AFF"/>
    <w:rsid w:val="00EE30B6"/>
    <w:rsid w:val="00EE389E"/>
    <w:rsid w:val="00EE5C87"/>
    <w:rsid w:val="00EF25CE"/>
    <w:rsid w:val="00EF6872"/>
    <w:rsid w:val="00F00BAF"/>
    <w:rsid w:val="00F0310E"/>
    <w:rsid w:val="00F2061A"/>
    <w:rsid w:val="00F35FFE"/>
    <w:rsid w:val="00F37141"/>
    <w:rsid w:val="00F44C18"/>
    <w:rsid w:val="00F52631"/>
    <w:rsid w:val="00F52D90"/>
    <w:rsid w:val="00F54EB2"/>
    <w:rsid w:val="00F636F5"/>
    <w:rsid w:val="00F76822"/>
    <w:rsid w:val="00F85D0B"/>
    <w:rsid w:val="00F87B65"/>
    <w:rsid w:val="00F91E4E"/>
    <w:rsid w:val="00F93947"/>
    <w:rsid w:val="00F944B3"/>
    <w:rsid w:val="00F96056"/>
    <w:rsid w:val="00FA05D4"/>
    <w:rsid w:val="00FA49AB"/>
    <w:rsid w:val="00FC0451"/>
    <w:rsid w:val="00FD642A"/>
    <w:rsid w:val="00FE612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A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A07"/>
    <w:pPr>
      <w:keepNext/>
      <w:jc w:val="center"/>
      <w:outlineLvl w:val="1"/>
    </w:pPr>
    <w:rPr>
      <w:b/>
      <w:color w:val="0070C0"/>
      <w:sz w:val="28"/>
      <w:szCs w:val="28"/>
    </w:rPr>
  </w:style>
  <w:style w:type="paragraph" w:styleId="3">
    <w:name w:val="heading 3"/>
    <w:basedOn w:val="a"/>
    <w:next w:val="a"/>
    <w:link w:val="30"/>
    <w:qFormat/>
    <w:rsid w:val="00055331"/>
    <w:pPr>
      <w:keepNext/>
      <w:jc w:val="center"/>
      <w:outlineLvl w:val="2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9C4A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AF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unhideWhenUsed/>
    <w:qFormat/>
    <w:rsid w:val="009C4AF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9C4AF0"/>
    <w:pPr>
      <w:keepNext/>
      <w:widowControl w:val="0"/>
      <w:spacing w:before="240" w:after="60"/>
      <w:ind w:firstLine="851"/>
      <w:jc w:val="both"/>
      <w:outlineLvl w:val="7"/>
    </w:pPr>
    <w:rPr>
      <w:rFonts w:ascii="Arial" w:hAnsi="Arial"/>
      <w:snapToGrid w:val="0"/>
      <w:kern w:val="28"/>
      <w:sz w:val="24"/>
    </w:rPr>
  </w:style>
  <w:style w:type="paragraph" w:styleId="9">
    <w:name w:val="heading 9"/>
    <w:basedOn w:val="a"/>
    <w:next w:val="a"/>
    <w:link w:val="90"/>
    <w:qFormat/>
    <w:rsid w:val="009C4AF0"/>
    <w:pPr>
      <w:keepNext/>
      <w:widowControl w:val="0"/>
      <w:ind w:right="-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AF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3A07"/>
    <w:rPr>
      <w:rFonts w:ascii="Times New Roman" w:eastAsia="Times New Roman" w:hAnsi="Times New Roman" w:cs="Times New Roman"/>
      <w:b/>
      <w:color w:val="0070C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533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4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AF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C4AF0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4AF0"/>
    <w:rPr>
      <w:rFonts w:ascii="Arial" w:eastAsia="Times New Roman" w:hAnsi="Arial" w:cs="Times New Roman"/>
      <w:snapToGrid w:val="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4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4A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rsid w:val="009C4AF0"/>
    <w:pPr>
      <w:jc w:val="both"/>
    </w:pPr>
    <w:rPr>
      <w:sz w:val="24"/>
    </w:rPr>
  </w:style>
  <w:style w:type="character" w:customStyle="1" w:styleId="a8">
    <w:name w:val="Основной текст Знак"/>
    <w:basedOn w:val="a0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C4A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7"/>
    <w:rsid w:val="009C4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10"/>
    <w:uiPriority w:val="99"/>
    <w:rsid w:val="009C4A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9C4AF0"/>
    <w:rPr>
      <w:lang w:val="ru-RU" w:eastAsia="ru-RU" w:bidi="ar-SA"/>
    </w:rPr>
  </w:style>
  <w:style w:type="paragraph" w:styleId="ab">
    <w:name w:val="Balloon Text"/>
    <w:basedOn w:val="a"/>
    <w:link w:val="ac"/>
    <w:rsid w:val="009C4AF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AF0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9C4A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4A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9C4AF0"/>
    <w:pPr>
      <w:spacing w:before="100" w:beforeAutospacing="1" w:after="100" w:afterAutospacing="1"/>
    </w:pPr>
    <w:rPr>
      <w:sz w:val="24"/>
      <w:szCs w:val="24"/>
    </w:rPr>
  </w:style>
  <w:style w:type="paragraph" w:customStyle="1" w:styleId="basictext">
    <w:name w:val="basic_text"/>
    <w:basedOn w:val="a"/>
    <w:rsid w:val="009C4AF0"/>
    <w:pPr>
      <w:spacing w:after="100" w:afterAutospacing="1"/>
      <w:ind w:right="85" w:firstLine="567"/>
      <w:jc w:val="both"/>
      <w:textAlignment w:val="baseline"/>
    </w:pPr>
    <w:rPr>
      <w:rFonts w:ascii="Arial" w:hAnsi="Arial" w:cs="Arial"/>
      <w:color w:val="003366"/>
    </w:rPr>
  </w:style>
  <w:style w:type="paragraph" w:customStyle="1" w:styleId="211">
    <w:name w:val="Основной текст 21"/>
    <w:basedOn w:val="a"/>
    <w:rsid w:val="009C4AF0"/>
    <w:pPr>
      <w:ind w:firstLine="720"/>
      <w:jc w:val="both"/>
    </w:pPr>
    <w:rPr>
      <w:sz w:val="24"/>
    </w:rPr>
  </w:style>
  <w:style w:type="character" w:styleId="ae">
    <w:name w:val="footnote reference"/>
    <w:rsid w:val="009C4AF0"/>
    <w:rPr>
      <w:vertAlign w:val="superscript"/>
    </w:rPr>
  </w:style>
  <w:style w:type="paragraph" w:styleId="af">
    <w:name w:val="footnote text"/>
    <w:basedOn w:val="a"/>
    <w:link w:val="af0"/>
    <w:rsid w:val="009C4AF0"/>
  </w:style>
  <w:style w:type="character" w:customStyle="1" w:styleId="af0">
    <w:name w:val="Текст сноски Знак"/>
    <w:basedOn w:val="a0"/>
    <w:link w:val="af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ъект"/>
    <w:basedOn w:val="a"/>
    <w:rsid w:val="009C4AF0"/>
    <w:pPr>
      <w:keepNext/>
      <w:spacing w:before="120" w:after="120"/>
      <w:jc w:val="center"/>
    </w:pPr>
    <w:rPr>
      <w:sz w:val="24"/>
      <w:szCs w:val="24"/>
    </w:rPr>
  </w:style>
  <w:style w:type="character" w:customStyle="1" w:styleId="FontStyle12">
    <w:name w:val="Font Style12"/>
    <w:rsid w:val="009C4AF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C4A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9C4AF0"/>
    <w:pPr>
      <w:widowControl w:val="0"/>
      <w:autoSpaceDE w:val="0"/>
      <w:autoSpaceDN w:val="0"/>
      <w:adjustRightInd w:val="0"/>
      <w:spacing w:line="278" w:lineRule="exact"/>
      <w:ind w:firstLine="437"/>
    </w:pPr>
    <w:rPr>
      <w:sz w:val="24"/>
      <w:szCs w:val="24"/>
    </w:rPr>
  </w:style>
  <w:style w:type="paragraph" w:customStyle="1" w:styleId="Style4">
    <w:name w:val="Style4"/>
    <w:basedOn w:val="a"/>
    <w:rsid w:val="009C4AF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rsid w:val="009C4A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9C4AF0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8">
    <w:name w:val="Style8"/>
    <w:basedOn w:val="a"/>
    <w:rsid w:val="009C4AF0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1">
    <w:name w:val="Font Style11"/>
    <w:rsid w:val="009C4A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9C4A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C4A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9C4A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C4AF0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rsid w:val="009C4AF0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uiPriority w:val="99"/>
    <w:rsid w:val="009C4AF0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9C4A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Hyperlink"/>
    <w:uiPriority w:val="99"/>
    <w:rsid w:val="009C4AF0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C32EBA"/>
    <w:pPr>
      <w:tabs>
        <w:tab w:val="right" w:leader="dot" w:pos="9639"/>
      </w:tabs>
    </w:pPr>
    <w:rPr>
      <w:noProof/>
      <w:sz w:val="28"/>
      <w:szCs w:val="28"/>
    </w:rPr>
  </w:style>
  <w:style w:type="paragraph" w:styleId="23">
    <w:name w:val="Body Text 2"/>
    <w:basedOn w:val="a"/>
    <w:link w:val="24"/>
    <w:uiPriority w:val="99"/>
    <w:rsid w:val="009C4A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9C4AF0"/>
    <w:pPr>
      <w:spacing w:before="60" w:after="60"/>
      <w:ind w:firstLine="567"/>
      <w:jc w:val="both"/>
    </w:pPr>
    <w:rPr>
      <w:rFonts w:ascii="Arial" w:hAnsi="Arial" w:cs="Arial"/>
      <w:sz w:val="22"/>
      <w:szCs w:val="22"/>
      <w:lang w:val="en-US"/>
    </w:rPr>
  </w:style>
  <w:style w:type="paragraph" w:styleId="af5">
    <w:name w:val="Body Text First Indent"/>
    <w:basedOn w:val="a7"/>
    <w:link w:val="af6"/>
    <w:rsid w:val="009C4AF0"/>
    <w:pPr>
      <w:spacing w:after="120"/>
      <w:ind w:firstLine="210"/>
      <w:jc w:val="left"/>
    </w:pPr>
    <w:rPr>
      <w:szCs w:val="24"/>
    </w:rPr>
  </w:style>
  <w:style w:type="character" w:customStyle="1" w:styleId="af6">
    <w:name w:val="Красная строка Знак"/>
    <w:basedOn w:val="a8"/>
    <w:link w:val="af5"/>
    <w:rsid w:val="009C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C4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Indent 3"/>
    <w:basedOn w:val="a"/>
    <w:link w:val="35"/>
    <w:uiPriority w:val="99"/>
    <w:rsid w:val="009C4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C4A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C32EBA"/>
    <w:pPr>
      <w:tabs>
        <w:tab w:val="right" w:leader="dot" w:pos="9639"/>
      </w:tabs>
      <w:ind w:left="284"/>
    </w:pPr>
    <w:rPr>
      <w:sz w:val="28"/>
    </w:rPr>
  </w:style>
  <w:style w:type="paragraph" w:customStyle="1" w:styleId="26">
    <w:name w:val="заголовок 2"/>
    <w:basedOn w:val="a"/>
    <w:next w:val="a"/>
    <w:rsid w:val="009C4AF0"/>
    <w:pPr>
      <w:keepNext/>
      <w:ind w:right="-908"/>
      <w:jc w:val="center"/>
    </w:pPr>
    <w:rPr>
      <w:sz w:val="26"/>
    </w:rPr>
  </w:style>
  <w:style w:type="paragraph" w:styleId="af7">
    <w:name w:val="Document Map"/>
    <w:basedOn w:val="a"/>
    <w:link w:val="af8"/>
    <w:rsid w:val="009C4AF0"/>
    <w:pPr>
      <w:widowControl w:val="0"/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rsid w:val="009C4A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annotation text"/>
    <w:basedOn w:val="a"/>
    <w:link w:val="afa"/>
    <w:rsid w:val="009C4AF0"/>
    <w:pPr>
      <w:widowControl w:val="0"/>
    </w:pPr>
  </w:style>
  <w:style w:type="character" w:customStyle="1" w:styleId="afa">
    <w:name w:val="Текст примечания Знак"/>
    <w:basedOn w:val="a0"/>
    <w:link w:val="af9"/>
    <w:rsid w:val="009C4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C4AF0"/>
    <w:rPr>
      <w:b/>
      <w:bCs/>
    </w:rPr>
  </w:style>
  <w:style w:type="character" w:customStyle="1" w:styleId="afc">
    <w:name w:val="Тема примечания Знак"/>
    <w:basedOn w:val="afa"/>
    <w:link w:val="afb"/>
    <w:rsid w:val="009C4A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6">
    <w:name w:val="Font Style16"/>
    <w:rsid w:val="009C4AF0"/>
    <w:rPr>
      <w:rFonts w:ascii="Times New Roman" w:hAnsi="Times New Roman" w:cs="Times New Roman" w:hint="default"/>
      <w:b/>
      <w:bCs/>
      <w:sz w:val="22"/>
      <w:szCs w:val="22"/>
      <w:lang w:val="en-US" w:eastAsia="en-US" w:bidi="ar-SA"/>
    </w:rPr>
  </w:style>
  <w:style w:type="paragraph" w:customStyle="1" w:styleId="afd">
    <w:name w:val="Знак Знак Знак Знак"/>
    <w:basedOn w:val="a"/>
    <w:rsid w:val="009C4A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ocked/>
    <w:rsid w:val="009C4AF0"/>
    <w:rPr>
      <w:sz w:val="24"/>
      <w:lang w:val="ru-RU" w:eastAsia="ru-RU" w:bidi="ar-SA"/>
    </w:rPr>
  </w:style>
  <w:style w:type="character" w:customStyle="1" w:styleId="200">
    <w:name w:val="Знак Знак20"/>
    <w:locked/>
    <w:rsid w:val="009C4AF0"/>
    <w:rPr>
      <w:b/>
      <w:sz w:val="24"/>
      <w:lang w:val="ru-RU" w:eastAsia="ru-RU" w:bidi="ar-SA"/>
    </w:rPr>
  </w:style>
  <w:style w:type="character" w:customStyle="1" w:styleId="14">
    <w:name w:val="Знак Знак14"/>
    <w:locked/>
    <w:rsid w:val="009C4AF0"/>
    <w:rPr>
      <w:sz w:val="24"/>
      <w:lang w:val="ru-RU" w:eastAsia="ru-RU" w:bidi="ar-SA"/>
    </w:rPr>
  </w:style>
  <w:style w:type="table" w:styleId="afe">
    <w:name w:val="Table Grid"/>
    <w:basedOn w:val="a1"/>
    <w:uiPriority w:val="59"/>
    <w:rsid w:val="009C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9C4A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">
    <w:name w:val="page number"/>
    <w:basedOn w:val="a0"/>
    <w:rsid w:val="009C4AF0"/>
  </w:style>
  <w:style w:type="paragraph" w:styleId="aff0">
    <w:name w:val="No Spacing"/>
    <w:link w:val="aff1"/>
    <w:uiPriority w:val="1"/>
    <w:qFormat/>
    <w:rsid w:val="009C4AF0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15">
    <w:name w:val="Основной текст1"/>
    <w:basedOn w:val="a"/>
    <w:rsid w:val="009C4AF0"/>
    <w:rPr>
      <w:sz w:val="24"/>
    </w:rPr>
  </w:style>
  <w:style w:type="paragraph" w:customStyle="1" w:styleId="ConsNormal">
    <w:name w:val="ConsNormal"/>
    <w:rsid w:val="009C4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f2">
    <w:name w:val="annotation reference"/>
    <w:rsid w:val="009C4AF0"/>
    <w:rPr>
      <w:sz w:val="16"/>
      <w:szCs w:val="16"/>
    </w:rPr>
  </w:style>
  <w:style w:type="character" w:customStyle="1" w:styleId="6">
    <w:name w:val="Знак Знак6"/>
    <w:locked/>
    <w:rsid w:val="009C4AF0"/>
    <w:rPr>
      <w:lang w:val="ru-RU" w:eastAsia="ru-RU" w:bidi="ar-SA"/>
    </w:rPr>
  </w:style>
  <w:style w:type="character" w:customStyle="1" w:styleId="16">
    <w:name w:val="Основной текст с отступом Знак1"/>
    <w:locked/>
    <w:rsid w:val="009C4AF0"/>
    <w:rPr>
      <w:lang w:val="ru-RU" w:eastAsia="ru-RU" w:bidi="ar-SA"/>
    </w:rPr>
  </w:style>
  <w:style w:type="paragraph" w:customStyle="1" w:styleId="140">
    <w:name w:val="Стиль14"/>
    <w:basedOn w:val="a"/>
    <w:rsid w:val="009C4AF0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17">
    <w:name w:val="toc 1"/>
    <w:basedOn w:val="a"/>
    <w:next w:val="a"/>
    <w:autoRedefine/>
    <w:uiPriority w:val="39"/>
    <w:rsid w:val="00BB76B2"/>
    <w:pPr>
      <w:tabs>
        <w:tab w:val="right" w:leader="dot" w:pos="9911"/>
      </w:tabs>
      <w:ind w:firstLine="567"/>
    </w:pPr>
    <w:rPr>
      <w:sz w:val="24"/>
    </w:rPr>
  </w:style>
  <w:style w:type="paragraph" w:customStyle="1" w:styleId="headertext">
    <w:name w:val="headertext"/>
    <w:rsid w:val="009C4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8">
    <w:name w:val="Без интервала1"/>
    <w:rsid w:val="009C4A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rsid w:val="009C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030">
    <w:name w:val="Стиль Личные сведения + Справа:  0 см Перед:  3 пт После:  0 пт ..."/>
    <w:basedOn w:val="a"/>
    <w:rsid w:val="009C4AF0"/>
    <w:pPr>
      <w:numPr>
        <w:numId w:val="3"/>
      </w:numPr>
      <w:spacing w:after="120" w:line="360" w:lineRule="auto"/>
      <w:jc w:val="both"/>
    </w:pPr>
    <w:rPr>
      <w:sz w:val="24"/>
      <w:szCs w:val="24"/>
    </w:rPr>
  </w:style>
  <w:style w:type="paragraph" w:customStyle="1" w:styleId="110">
    <w:name w:val="Без интервала11"/>
    <w:uiPriority w:val="99"/>
    <w:rsid w:val="009C4AF0"/>
    <w:pPr>
      <w:spacing w:after="0" w:line="240" w:lineRule="auto"/>
    </w:pPr>
    <w:rPr>
      <w:rFonts w:ascii="Calibri" w:eastAsia="Times New Roman" w:hAnsi="Calibri" w:cs="Calibri"/>
    </w:rPr>
  </w:style>
  <w:style w:type="paragraph" w:styleId="aff3">
    <w:name w:val="List Paragraph"/>
    <w:basedOn w:val="a"/>
    <w:uiPriority w:val="34"/>
    <w:qFormat/>
    <w:rsid w:val="009C4AF0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9C4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Н"/>
    <w:basedOn w:val="a"/>
    <w:rsid w:val="009C4AF0"/>
    <w:pPr>
      <w:spacing w:line="360" w:lineRule="auto"/>
      <w:ind w:firstLine="709"/>
      <w:jc w:val="both"/>
    </w:pPr>
    <w:rPr>
      <w:sz w:val="28"/>
    </w:rPr>
  </w:style>
  <w:style w:type="paragraph" w:customStyle="1" w:styleId="19">
    <w:name w:val="Абзац списка1"/>
    <w:basedOn w:val="a"/>
    <w:rsid w:val="009C4AF0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4A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4AF0"/>
  </w:style>
  <w:style w:type="paragraph" w:styleId="aff5">
    <w:name w:val="Title"/>
    <w:basedOn w:val="a"/>
    <w:link w:val="aff6"/>
    <w:qFormat/>
    <w:rsid w:val="009C4AF0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0"/>
    <w:link w:val="aff5"/>
    <w:rsid w:val="009C4A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4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9C4AF0"/>
    <w:rPr>
      <w:rFonts w:ascii="Century Schoolbook" w:eastAsia="Century Schoolbook" w:hAnsi="Century Schoolbook" w:cs="Times New Roman"/>
    </w:rPr>
  </w:style>
  <w:style w:type="character" w:styleId="aff7">
    <w:name w:val="Strong"/>
    <w:uiPriority w:val="22"/>
    <w:qFormat/>
    <w:rsid w:val="009C4AF0"/>
    <w:rPr>
      <w:b/>
      <w:bCs/>
    </w:rPr>
  </w:style>
  <w:style w:type="paragraph" w:customStyle="1" w:styleId="1a">
    <w:name w:val="Таб1"/>
    <w:basedOn w:val="a"/>
    <w:link w:val="1Char"/>
    <w:qFormat/>
    <w:rsid w:val="009C4AF0"/>
    <w:pPr>
      <w:jc w:val="both"/>
    </w:pPr>
    <w:rPr>
      <w:sz w:val="28"/>
      <w:szCs w:val="24"/>
    </w:rPr>
  </w:style>
  <w:style w:type="character" w:customStyle="1" w:styleId="1Char">
    <w:name w:val="Таб1 Char"/>
    <w:link w:val="1a"/>
    <w:rsid w:val="009C4A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8">
    <w:name w:val="Основной текст_"/>
    <w:link w:val="27"/>
    <w:rsid w:val="009C4AF0"/>
    <w:rPr>
      <w:spacing w:val="1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8"/>
    <w:rsid w:val="009C4AF0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aff9">
    <w:name w:val="Основной текст + Полужирный"/>
    <w:rsid w:val="009C4AF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9C4AF0"/>
    <w:pPr>
      <w:widowControl w:val="0"/>
      <w:shd w:val="clear" w:color="auto" w:fill="FFFFFF"/>
      <w:spacing w:line="0" w:lineRule="atLeast"/>
    </w:pPr>
    <w:rPr>
      <w:color w:val="000000"/>
      <w:spacing w:val="2"/>
      <w:sz w:val="24"/>
      <w:szCs w:val="24"/>
      <w:lang w:bidi="ru-RU"/>
    </w:rPr>
  </w:style>
  <w:style w:type="character" w:customStyle="1" w:styleId="101">
    <w:name w:val="Основной текст (10)_"/>
    <w:rsid w:val="009C4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2">
    <w:name w:val="Основной текст (10)"/>
    <w:rsid w:val="009C4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85E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Обычный1"/>
    <w:rsid w:val="002F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BB76B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города, чел.</a:t>
            </a:r>
          </a:p>
        </c:rich>
      </c:tx>
      <c:layout>
        <c:manualLayout>
          <c:xMode val="edge"/>
          <c:yMode val="edge"/>
          <c:x val="0.2506393861892583"/>
          <c:y val="2.1212121212121241E-2"/>
        </c:manualLayout>
      </c:layout>
      <c:spPr>
        <a:noFill/>
        <a:ln w="25464">
          <a:noFill/>
        </a:ln>
      </c:spPr>
    </c:title>
    <c:view3D>
      <c:rotX val="0"/>
      <c:hPercent val="3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872122762148433E-2"/>
          <c:y val="0.19393939393939552"/>
          <c:w val="0.95012787723785164"/>
          <c:h val="0.57575757575757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0642212091237451E-3"/>
                  <c:y val="3.23515884625103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70-48ED-B9C2-8F4BB8B19DC0}"/>
                </c:ext>
              </c:extLst>
            </c:dLbl>
            <c:dLbl>
              <c:idx val="1"/>
              <c:layout>
                <c:manualLayout>
                  <c:x val="4.4804733067002065E-3"/>
                  <c:y val="-8.667157712005374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70-48ED-B9C2-8F4BB8B19DC0}"/>
                </c:ext>
              </c:extLst>
            </c:dLbl>
            <c:dLbl>
              <c:idx val="2"/>
              <c:layout>
                <c:manualLayout>
                  <c:x val="-1.9397561844006464E-3"/>
                  <c:y val="1.94872380082932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70-48ED-B9C2-8F4BB8B19DC0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610</c:v>
                </c:pt>
                <c:pt idx="1">
                  <c:v>521</c:v>
                </c:pt>
                <c:pt idx="2">
                  <c:v>524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70-48ED-B9C2-8F4BB8B19D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rgbClr val="3366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846740200011546E-3"/>
                  <c:y val="-1.93164095594769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570-48ED-B9C2-8F4BB8B19DC0}"/>
                </c:ext>
              </c:extLst>
            </c:dLbl>
            <c:dLbl>
              <c:idx val="1"/>
              <c:layout>
                <c:manualLayout>
                  <c:x val="3.6219892859335624E-3"/>
                  <c:y val="-9.3450769246733185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570-48ED-B9C2-8F4BB8B19DC0}"/>
                </c:ext>
              </c:extLst>
            </c:dLbl>
            <c:dLbl>
              <c:idx val="2"/>
              <c:layout>
                <c:manualLayout>
                  <c:x val="2.3168493088989838E-3"/>
                  <c:y val="5.9046472945820214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570-48ED-B9C2-8F4BB8B19DC0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731</c:v>
                </c:pt>
                <c:pt idx="1">
                  <c:v>727</c:v>
                </c:pt>
                <c:pt idx="2">
                  <c:v>730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570-48ED-B9C2-8F4BB8B19DC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rgbClr val="00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393272082073377E-3"/>
                  <c:y val="1.8079424854501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570-48ED-B9C2-8F4BB8B19DC0}"/>
                </c:ext>
              </c:extLst>
            </c:dLbl>
            <c:dLbl>
              <c:idx val="1"/>
              <c:layout>
                <c:manualLayout>
                  <c:x val="4.5341872311726403E-3"/>
                  <c:y val="8.24940261913906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570-48ED-B9C2-8F4BB8B19DC0}"/>
                </c:ext>
              </c:extLst>
            </c:dLbl>
            <c:dLbl>
              <c:idx val="2"/>
              <c:layout>
                <c:manualLayout>
                  <c:x val="1.950274875621725E-3"/>
                  <c:y val="8.5524329221694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570-48ED-B9C2-8F4BB8B19DC0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-121</c:v>
                </c:pt>
                <c:pt idx="1">
                  <c:v>-206</c:v>
                </c:pt>
                <c:pt idx="2">
                  <c:v>-206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570-48ED-B9C2-8F4BB8B19DC0}"/>
            </c:ext>
          </c:extLst>
        </c:ser>
        <c:gapDepth val="0"/>
        <c:shape val="box"/>
        <c:axId val="88010752"/>
        <c:axId val="88012288"/>
        <c:axId val="0"/>
      </c:bar3DChart>
      <c:catAx>
        <c:axId val="88010752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12288"/>
        <c:crosses val="autoZero"/>
        <c:auto val="1"/>
        <c:lblAlgn val="ctr"/>
        <c:lblOffset val="100"/>
        <c:tickLblSkip val="1"/>
        <c:tickMarkSkip val="1"/>
      </c:catAx>
      <c:valAx>
        <c:axId val="88012288"/>
        <c:scaling>
          <c:orientation val="minMax"/>
        </c:scaling>
        <c:axPos val="l"/>
        <c:majorGridlines>
          <c:spPr>
            <a:ln w="3183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10752"/>
        <c:crosses val="autoZero"/>
        <c:crossBetween val="between"/>
      </c:valAx>
      <c:spPr>
        <a:noFill/>
        <a:ln w="25464">
          <a:noFill/>
        </a:ln>
      </c:spPr>
    </c:plotArea>
    <c:legend>
      <c:legendPos val="b"/>
      <c:layout>
        <c:manualLayout>
          <c:xMode val="edge"/>
          <c:yMode val="edge"/>
          <c:x val="0.17263427109974425"/>
          <c:y val="0.90303030303030307"/>
          <c:w val="0.65984654731458392"/>
          <c:h val="7.8787878787878809E-2"/>
        </c:manualLayout>
      </c:layout>
      <c:spPr>
        <a:noFill/>
        <a:ln w="25464">
          <a:noFill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Прогноз естественного движения населения города, чел.</a:t>
            </a:r>
          </a:p>
        </c:rich>
      </c:tx>
      <c:layout>
        <c:manualLayout>
          <c:xMode val="edge"/>
          <c:yMode val="edge"/>
          <c:x val="0.20076726342711099"/>
          <c:y val="2.1148036253776436E-2"/>
        </c:manualLayout>
      </c:layout>
      <c:spPr>
        <a:noFill/>
        <a:ln w="25464">
          <a:noFill/>
        </a:ln>
      </c:spPr>
    </c:title>
    <c:view3D>
      <c:rotX val="0"/>
      <c:hPercent val="3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872122762148384E-2"/>
          <c:y val="0.19335347432024169"/>
          <c:w val="0.95012787723785164"/>
          <c:h val="0.57703927492447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rgbClr val="993366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694488569195814E-3"/>
                  <c:y val="2.19263097107363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97-488A-B1A4-356EC997C7A6}"/>
                </c:ext>
              </c:extLst>
            </c:dLbl>
            <c:dLbl>
              <c:idx val="1"/>
              <c:layout>
                <c:manualLayout>
                  <c:x val="4.7861916708520193E-3"/>
                  <c:y val="-1.4406106502286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97-488A-B1A4-356EC997C7A6}"/>
                </c:ext>
              </c:extLst>
            </c:dLbl>
            <c:dLbl>
              <c:idx val="2"/>
              <c:layout>
                <c:manualLayout>
                  <c:x val="-1.7333826507652801E-3"/>
                  <c:y val="1.7184008417578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97-488A-B1A4-356EC997C7A6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526</c:v>
                </c:pt>
                <c:pt idx="1">
                  <c:v>529</c:v>
                </c:pt>
                <c:pt idx="2">
                  <c:v>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97-488A-B1A4-356EC997C7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rgbClr val="3366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8622978696515364E-3"/>
                  <c:y val="-2.1427884225122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E97-488A-B1A4-356EC997C7A6}"/>
                </c:ext>
              </c:extLst>
            </c:dLbl>
            <c:dLbl>
              <c:idx val="1"/>
              <c:layout>
                <c:manualLayout>
                  <c:x val="3.6216603796784012E-3"/>
                  <c:y val="-3.63578571460330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E97-488A-B1A4-356EC997C7A6}"/>
                </c:ext>
              </c:extLst>
            </c:dLbl>
            <c:dLbl>
              <c:idx val="2"/>
              <c:layout>
                <c:manualLayout>
                  <c:x val="3.4959479506442791E-3"/>
                  <c:y val="4.0412948442573534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E97-488A-B1A4-356EC997C7A6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731</c:v>
                </c:pt>
                <c:pt idx="1">
                  <c:v>734</c:v>
                </c:pt>
                <c:pt idx="2">
                  <c:v>736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E97-488A-B1A4-356EC997C7A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rgbClr val="00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1895117128397074E-3"/>
                  <c:y val="8.4463395697423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E97-488A-B1A4-356EC997C7A6}"/>
                </c:ext>
              </c:extLst>
            </c:dLbl>
            <c:dLbl>
              <c:idx val="1"/>
              <c:layout>
                <c:manualLayout>
                  <c:x val="4.2274821482553683E-3"/>
                  <c:y val="7.84210996249151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E97-488A-B1A4-356EC997C7A6}"/>
                </c:ext>
              </c:extLst>
            </c:dLbl>
            <c:dLbl>
              <c:idx val="2"/>
              <c:layout>
                <c:manualLayout>
                  <c:x val="1.5442249621880645E-3"/>
                  <c:y val="7.7911716043527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E97-488A-B1A4-356EC997C7A6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-205</c:v>
                </c:pt>
                <c:pt idx="1">
                  <c:v>-205</c:v>
                </c:pt>
                <c:pt idx="2">
                  <c:v>-204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E97-488A-B1A4-356EC997C7A6}"/>
            </c:ext>
          </c:extLst>
        </c:ser>
        <c:gapDepth val="0"/>
        <c:shape val="box"/>
        <c:axId val="64742528"/>
        <c:axId val="64744064"/>
        <c:axId val="0"/>
      </c:bar3DChart>
      <c:catAx>
        <c:axId val="64742528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744064"/>
        <c:crosses val="autoZero"/>
        <c:auto val="1"/>
        <c:lblAlgn val="ctr"/>
        <c:lblOffset val="100"/>
        <c:tickLblSkip val="1"/>
        <c:tickMarkSkip val="1"/>
      </c:catAx>
      <c:valAx>
        <c:axId val="64744064"/>
        <c:scaling>
          <c:orientation val="minMax"/>
        </c:scaling>
        <c:axPos val="l"/>
        <c:majorGridlines>
          <c:spPr>
            <a:ln w="3183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742528"/>
        <c:crosses val="autoZero"/>
        <c:crossBetween val="between"/>
      </c:valAx>
      <c:spPr>
        <a:noFill/>
        <a:ln w="25464">
          <a:noFill/>
        </a:ln>
      </c:spPr>
    </c:plotArea>
    <c:legend>
      <c:legendPos val="b"/>
      <c:layout>
        <c:manualLayout>
          <c:xMode val="edge"/>
          <c:yMode val="edge"/>
          <c:x val="0.17263427109974425"/>
          <c:y val="0.90332326283987963"/>
          <c:w val="0.65984654731458392"/>
          <c:h val="7.8549848942598186E-2"/>
        </c:manualLayout>
      </c:layout>
      <c:spPr>
        <a:noFill/>
        <a:ln w="25464">
          <a:noFill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Выработка электроэнергии, млн. кВтч.</a:t>
            </a:r>
          </a:p>
        </c:rich>
      </c:tx>
      <c:layout>
        <c:manualLayout>
          <c:xMode val="edge"/>
          <c:yMode val="edge"/>
          <c:x val="0.21414538310412837"/>
          <c:y val="2.1621621621621651E-2"/>
        </c:manualLayout>
      </c:layout>
      <c:spPr>
        <a:noFill/>
        <a:ln w="25449">
          <a:noFill/>
        </a:ln>
      </c:spPr>
    </c:title>
    <c:plotArea>
      <c:layout>
        <c:manualLayout>
          <c:layoutTarget val="inner"/>
          <c:xMode val="edge"/>
          <c:yMode val="edge"/>
          <c:x val="0.11394891944990145"/>
          <c:y val="0.23243243243243597"/>
          <c:w val="0.88212180746561963"/>
          <c:h val="0.4864864864864891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8174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832693725737051E-2"/>
                  <c:y val="-0.19717069632705167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278-451D-9E6B-6EB48581AFD4}"/>
                </c:ext>
              </c:extLst>
            </c:dLbl>
            <c:dLbl>
              <c:idx val="1"/>
              <c:layout>
                <c:manualLayout>
                  <c:x val="-1.2354611144364079E-2"/>
                  <c:y val="-0.18481516547883359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278-451D-9E6B-6EB48581AFD4}"/>
                </c:ext>
              </c:extLst>
            </c:dLbl>
            <c:dLbl>
              <c:idx val="2"/>
              <c:layout>
                <c:manualLayout>
                  <c:x val="-4.7063169034503534E-2"/>
                  <c:y val="-0.18229794152179019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278-451D-9E6B-6EB48581AFD4}"/>
                </c:ext>
              </c:extLst>
            </c:dLbl>
            <c:spPr>
              <a:noFill/>
              <a:ln w="25449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28815.4</c:v>
                </c:pt>
                <c:pt idx="1">
                  <c:v>28528</c:v>
                </c:pt>
                <c:pt idx="2">
                  <c:v>27300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78-451D-9E6B-6EB48581AFD4}"/>
            </c:ext>
          </c:extLst>
        </c:ser>
        <c:marker val="1"/>
        <c:axId val="73625984"/>
        <c:axId val="73627520"/>
      </c:lineChart>
      <c:catAx>
        <c:axId val="73625984"/>
        <c:scaling>
          <c:orientation val="minMax"/>
        </c:scaling>
        <c:axPos val="b"/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27520"/>
        <c:crossesAt val="0"/>
        <c:auto val="1"/>
        <c:lblAlgn val="ctr"/>
        <c:lblOffset val="100"/>
        <c:tickLblSkip val="1"/>
        <c:tickMarkSkip val="1"/>
      </c:catAx>
      <c:valAx>
        <c:axId val="73627520"/>
        <c:scaling>
          <c:orientation val="minMax"/>
          <c:max val="40000"/>
          <c:min val="20000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25984"/>
        <c:crosses val="autoZero"/>
        <c:crossBetween val="between"/>
        <c:majorUnit val="10000"/>
      </c:valAx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Выработка электроэнергии, млн. кВтч.</a:t>
            </a:r>
          </a:p>
        </c:rich>
      </c:tx>
      <c:layout>
        <c:manualLayout>
          <c:xMode val="edge"/>
          <c:yMode val="edge"/>
          <c:x val="0.21414538310412837"/>
          <c:y val="2.1621621621621651E-2"/>
        </c:manualLayout>
      </c:layout>
      <c:spPr>
        <a:noFill/>
        <a:ln w="25351">
          <a:noFill/>
        </a:ln>
      </c:spPr>
    </c:title>
    <c:plotArea>
      <c:layout>
        <c:manualLayout>
          <c:layoutTarget val="inner"/>
          <c:xMode val="edge"/>
          <c:yMode val="edge"/>
          <c:x val="0.11394891944990145"/>
          <c:y val="0.17773147587320898"/>
          <c:w val="0.88212180746561963"/>
          <c:h val="0.541187428494515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8027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619834158546746E-2"/>
                  <c:y val="-0.1964854206114057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A3-4A97-A245-E51B25BA8BEC}"/>
                </c:ext>
              </c:extLst>
            </c:dLbl>
            <c:dLbl>
              <c:idx val="1"/>
              <c:layout>
                <c:manualLayout>
                  <c:x val="-1.1141847459159481E-2"/>
                  <c:y val="-0.18394499648043267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A3-4A97-A245-E51B25BA8BEC}"/>
                </c:ext>
              </c:extLst>
            </c:dLbl>
            <c:dLbl>
              <c:idx val="2"/>
              <c:layout>
                <c:manualLayout>
                  <c:x val="-4.5850298553916924E-2"/>
                  <c:y val="-0.18494485278737535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A3-4A97-A245-E51B25BA8BEC}"/>
                </c:ext>
              </c:extLst>
            </c:dLbl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29950</c:v>
                </c:pt>
                <c:pt idx="1">
                  <c:v>31250</c:v>
                </c:pt>
                <c:pt idx="2">
                  <c:v>31856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A3-4A97-A245-E51B25BA8BEC}"/>
            </c:ext>
          </c:extLst>
        </c:ser>
        <c:marker val="1"/>
        <c:axId val="85432960"/>
        <c:axId val="196604288"/>
      </c:lineChart>
      <c:catAx>
        <c:axId val="8543296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604288"/>
        <c:crossesAt val="0"/>
        <c:auto val="1"/>
        <c:lblAlgn val="ctr"/>
        <c:lblOffset val="100"/>
        <c:tickLblSkip val="1"/>
        <c:tickMarkSkip val="1"/>
      </c:catAx>
      <c:valAx>
        <c:axId val="196604288"/>
        <c:scaling>
          <c:orientation val="minMax"/>
          <c:max val="40000"/>
          <c:min val="20000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32960"/>
        <c:crosses val="autoZero"/>
        <c:crossBetween val="between"/>
        <c:majorUnit val="10000"/>
      </c:valAx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работ по виду деятельности обрабатывающие производства, млн. руб.</a:t>
            </a:r>
          </a:p>
        </c:rich>
      </c:tx>
      <c:layout>
        <c:manualLayout>
          <c:xMode val="edge"/>
          <c:yMode val="edge"/>
          <c:x val="0.14928425357873376"/>
          <c:y val="3.968253968253968E-2"/>
        </c:manualLayout>
      </c:layout>
      <c:spPr>
        <a:noFill/>
        <a:ln w="25399">
          <a:noFill/>
        </a:ln>
      </c:spPr>
    </c:title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5644171779141"/>
          <c:y val="0.27380952380952622"/>
          <c:w val="0.8629856850715808"/>
          <c:h val="0.579365079365079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отгруженных  товаров, работ , услуг, обрабатывающие производства, млн. руб.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770745490789445E-3"/>
                  <c:y val="0.1006455395365652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439-4DB0-B987-2AAFD3AB7B6A}"/>
                </c:ext>
              </c:extLst>
            </c:dLbl>
            <c:dLbl>
              <c:idx val="1"/>
              <c:layout>
                <c:manualLayout>
                  <c:x val="9.2596961470417158E-4"/>
                  <c:y val="0.1242812682765813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439-4DB0-B987-2AAFD3AB7B6A}"/>
                </c:ext>
              </c:extLst>
            </c:dLbl>
            <c:dLbl>
              <c:idx val="2"/>
              <c:layout>
                <c:manualLayout>
                  <c:x val="5.3546133859914439E-3"/>
                  <c:y val="0.1275215216418542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439-4DB0-B987-2AAFD3AB7B6A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12291</c:v>
                </c:pt>
                <c:pt idx="1">
                  <c:v>14883</c:v>
                </c:pt>
                <c:pt idx="2">
                  <c:v>19735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39-4DB0-B987-2AAFD3AB7B6A}"/>
            </c:ext>
          </c:extLst>
        </c:ser>
        <c:gapDepth val="0"/>
        <c:shape val="box"/>
        <c:axId val="88274816"/>
        <c:axId val="88276352"/>
        <c:axId val="0"/>
      </c:bar3DChart>
      <c:catAx>
        <c:axId val="88274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76352"/>
        <c:crossesAt val="0"/>
        <c:auto val="1"/>
        <c:lblAlgn val="ctr"/>
        <c:lblOffset val="100"/>
        <c:tickLblSkip val="1"/>
        <c:tickMarkSkip val="1"/>
      </c:catAx>
      <c:valAx>
        <c:axId val="88276352"/>
        <c:scaling>
          <c:orientation val="minMax"/>
          <c:max val="150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74816"/>
        <c:crosses val="autoZero"/>
        <c:crossBetween val="between"/>
        <c:majorUnit val="5000"/>
        <c:minorUnit val="100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425032594524122"/>
          <c:y val="0"/>
        </c:manualLayout>
      </c:layout>
      <c:spPr>
        <a:noFill/>
        <a:ln w="25465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885267275097787E-2"/>
          <c:y val="0.17993079584775157"/>
          <c:w val="0.92438070404172057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750234694165574E-2"/>
                  <c:y val="-8.9649792597861599E-2"/>
                </c:manualLayout>
              </c:layout>
              <c:showVal val="1"/>
            </c:dLbl>
            <c:dLbl>
              <c:idx val="1"/>
              <c:layout>
                <c:manualLayout>
                  <c:x val="2.632440702064321E-2"/>
                  <c:y val="-8.8094847163409776E-2"/>
                </c:manualLayout>
              </c:layout>
              <c:showVal val="1"/>
            </c:dLbl>
            <c:dLbl>
              <c:idx val="2"/>
              <c:layout>
                <c:manualLayout>
                  <c:x val="1.8468499232307947E-2"/>
                  <c:y val="-8.0673230019440018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9348109517601046"/>
                  <c:y val="0"/>
                </c:manualLayout>
              </c:layout>
              <c:showVal val="1"/>
            </c:dLbl>
            <c:spPr>
              <a:noFill/>
              <a:ln w="25465">
                <a:noFill/>
              </a:ln>
            </c:spPr>
            <c:txPr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38585</c:v>
                </c:pt>
                <c:pt idx="1">
                  <c:v>38686</c:v>
                </c:pt>
                <c:pt idx="2">
                  <c:v>35572</c:v>
                </c:pt>
              </c:numCache>
            </c:numRef>
          </c:val>
          <c:shape val="cylinder"/>
        </c:ser>
        <c:gapDepth val="0"/>
        <c:shape val="box"/>
        <c:axId val="73481600"/>
        <c:axId val="88220800"/>
        <c:axId val="0"/>
      </c:bar3DChart>
      <c:catAx>
        <c:axId val="73481600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220800"/>
        <c:crosses val="autoZero"/>
        <c:auto val="1"/>
        <c:lblAlgn val="ctr"/>
        <c:lblOffset val="100"/>
        <c:tickLblSkip val="1"/>
        <c:tickMarkSkip val="1"/>
      </c:catAx>
      <c:valAx>
        <c:axId val="88220800"/>
        <c:scaling>
          <c:orientation val="minMax"/>
          <c:min val="0"/>
        </c:scaling>
        <c:axPos val="l"/>
        <c:majorGridlines>
          <c:spPr>
            <a:ln w="3183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81600"/>
        <c:crosses val="autoZero"/>
        <c:crossBetween val="between"/>
        <c:majorUnit val="10000"/>
        <c:minorUnit val="105.93600000000002"/>
      </c:valAx>
      <c:spPr>
        <a:noFill/>
        <a:ln w="2546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860791826309068"/>
          <c:y val="2.0761245674740619E-2"/>
        </c:manualLayout>
      </c:layout>
      <c:spPr>
        <a:noFill/>
        <a:ln w="25463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579821200510852E-2"/>
          <c:y val="0.17993079584775157"/>
          <c:w val="0.92592592592592549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461482490627042E-2"/>
                  <c:y val="-9.2475413716838414E-2"/>
                </c:manualLayout>
              </c:layout>
              <c:showVal val="1"/>
            </c:dLbl>
            <c:dLbl>
              <c:idx val="1"/>
              <c:layout>
                <c:manualLayout>
                  <c:x val="2.4266598344822577E-2"/>
                  <c:y val="-8.5515483222127722E-2"/>
                </c:manualLayout>
              </c:layout>
              <c:showVal val="1"/>
            </c:dLbl>
            <c:dLbl>
              <c:idx val="2"/>
              <c:layout>
                <c:manualLayout>
                  <c:x val="1.8391980130128941E-2"/>
                  <c:y val="-8.2157993801357534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1136653895274249"/>
                  <c:y val="0.11764705882352942"/>
                </c:manualLayout>
              </c:layout>
              <c:showVal val="1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11356</c:v>
                </c:pt>
                <c:pt idx="1">
                  <c:v>9936</c:v>
                </c:pt>
                <c:pt idx="2">
                  <c:v>7769</c:v>
                </c:pt>
              </c:numCache>
            </c:numRef>
          </c:val>
          <c:shape val="cylinder"/>
        </c:ser>
        <c:gapDepth val="0"/>
        <c:shape val="box"/>
        <c:axId val="73565312"/>
        <c:axId val="73566848"/>
        <c:axId val="0"/>
      </c:bar3DChart>
      <c:catAx>
        <c:axId val="73565312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566848"/>
        <c:crosses val="autoZero"/>
        <c:auto val="1"/>
        <c:lblAlgn val="ctr"/>
        <c:lblOffset val="100"/>
        <c:tickLblSkip val="1"/>
        <c:tickMarkSkip val="1"/>
      </c:catAx>
      <c:valAx>
        <c:axId val="73566848"/>
        <c:scaling>
          <c:orientation val="minMax"/>
          <c:min val="0"/>
        </c:scaling>
        <c:axPos val="l"/>
        <c:majorGridlines>
          <c:spPr>
            <a:ln w="3183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565312"/>
        <c:crosses val="autoZero"/>
        <c:crossBetween val="between"/>
      </c:valAx>
      <c:spPr>
        <a:noFill/>
        <a:ln w="2546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C3ED-F48F-45AE-8274-5EF9A9B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37</Pages>
  <Words>15188</Words>
  <Characters>86575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obchmash</dc:creator>
  <cp:lastModifiedBy>N</cp:lastModifiedBy>
  <cp:revision>51</cp:revision>
  <cp:lastPrinted>2020-09-22T14:06:00Z</cp:lastPrinted>
  <dcterms:created xsi:type="dcterms:W3CDTF">2020-09-21T13:17:00Z</dcterms:created>
  <dcterms:modified xsi:type="dcterms:W3CDTF">2020-09-28T09:03:00Z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3aae9722-c963-4f5a-9dc9-f68f68b35bfc</vt:lpwstr>
  </property>
</Properties>
</file>