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FE" w:rsidRDefault="00F30AFE">
      <w:pPr>
        <w:pStyle w:val="ConsPlusTitlePage"/>
      </w:pPr>
      <w:r>
        <w:t xml:space="preserve">Документ предоставлен </w:t>
      </w:r>
      <w:hyperlink r:id="rId4" w:history="1">
        <w:r>
          <w:rPr>
            <w:color w:val="0000FF"/>
          </w:rPr>
          <w:t>КонсультантПлюс</w:t>
        </w:r>
      </w:hyperlink>
      <w:r>
        <w:br/>
      </w:r>
    </w:p>
    <w:p w:rsidR="00F30AFE" w:rsidRDefault="00F30AFE">
      <w:pPr>
        <w:pStyle w:val="ConsPlusNormal"/>
        <w:jc w:val="both"/>
      </w:pPr>
    </w:p>
    <w:p w:rsidR="00F30AFE" w:rsidRDefault="00F30AFE">
      <w:pPr>
        <w:pStyle w:val="ConsPlusTitle"/>
        <w:jc w:val="center"/>
      </w:pPr>
      <w:r>
        <w:t>МИНИСТЕРСТВО ФИНАНСОВ РОССИЙСКОЙ ФЕДЕРАЦИИ</w:t>
      </w:r>
    </w:p>
    <w:p w:rsidR="00F30AFE" w:rsidRDefault="00F30AFE">
      <w:pPr>
        <w:pStyle w:val="ConsPlusTitle"/>
        <w:jc w:val="center"/>
      </w:pPr>
    </w:p>
    <w:p w:rsidR="00F30AFE" w:rsidRDefault="00F30AFE">
      <w:pPr>
        <w:pStyle w:val="ConsPlusTitle"/>
        <w:jc w:val="center"/>
      </w:pPr>
      <w:r>
        <w:t>ПИСЬМО</w:t>
      </w:r>
    </w:p>
    <w:p w:rsidR="00F30AFE" w:rsidRDefault="00F30AFE">
      <w:pPr>
        <w:pStyle w:val="ConsPlusTitle"/>
        <w:jc w:val="center"/>
      </w:pPr>
      <w:r>
        <w:t>от 1 апреля 2016 г. N 02-06-07/19436</w:t>
      </w:r>
    </w:p>
    <w:p w:rsidR="00F30AFE" w:rsidRDefault="00F30AFE">
      <w:pPr>
        <w:pStyle w:val="ConsPlusTitle"/>
        <w:jc w:val="center"/>
      </w:pPr>
    </w:p>
    <w:p w:rsidR="00F30AFE" w:rsidRDefault="00F30AFE">
      <w:pPr>
        <w:pStyle w:val="ConsPlusTitle"/>
        <w:jc w:val="center"/>
      </w:pPr>
      <w:r>
        <w:t>О ПОРЯДКЕ</w:t>
      </w:r>
    </w:p>
    <w:p w:rsidR="00F30AFE" w:rsidRDefault="00F30AFE">
      <w:pPr>
        <w:pStyle w:val="ConsPlusTitle"/>
        <w:jc w:val="center"/>
      </w:pPr>
      <w:r>
        <w:t>УЧЕТА БЮДЖЕТНЫМИ И АВТОНОМНЫМИ УЧРЕЖДЕНИЯМИ СУБСИДИЙ</w:t>
      </w:r>
    </w:p>
    <w:p w:rsidR="00F30AFE" w:rsidRDefault="00F30AFE">
      <w:pPr>
        <w:pStyle w:val="ConsPlusTitle"/>
        <w:jc w:val="center"/>
      </w:pPr>
      <w:r>
        <w:t>НА ФИНАНСОВОЕ ОБЕСПЕЧЕНИЕ ВЫПОЛНЕНИЯ ГОСУДАРСТВЕННОГО</w:t>
      </w:r>
    </w:p>
    <w:p w:rsidR="00F30AFE" w:rsidRDefault="00F30AFE">
      <w:pPr>
        <w:pStyle w:val="ConsPlusTitle"/>
        <w:jc w:val="center"/>
      </w:pPr>
      <w:r>
        <w:t>(МУНИЦИПАЛЬНОГО) ЗАДАНИЯ И ОСТАТКОВ НЕИСПОЛЬЗОВАННЫХ</w:t>
      </w:r>
    </w:p>
    <w:p w:rsidR="00F30AFE" w:rsidRDefault="00F30AFE">
      <w:pPr>
        <w:pStyle w:val="ConsPlusTitle"/>
        <w:jc w:val="center"/>
      </w:pPr>
      <w:r>
        <w:t>СУБСИДИЙ, ПОДЛЕЖАЩИХ ВОЗВРАТУ В БЮДЖЕТ</w:t>
      </w:r>
    </w:p>
    <w:p w:rsidR="00F30AFE" w:rsidRDefault="00F30AFE">
      <w:pPr>
        <w:pStyle w:val="ConsPlusNormal"/>
        <w:jc w:val="both"/>
      </w:pPr>
    </w:p>
    <w:p w:rsidR="00F30AFE" w:rsidRDefault="00F30AFE">
      <w:pPr>
        <w:pStyle w:val="ConsPlusNormal"/>
        <w:ind w:firstLine="540"/>
        <w:jc w:val="both"/>
      </w:pPr>
      <w:proofErr w:type="gramStart"/>
      <w:r>
        <w:t>Министерство финансов Российской Федерации в целях обеспечения единого подхода к порядку бухгалтерского учета бюджетными или автономными учреждениями субсидий на финансовое обеспечение выполнения государственного (муниципального) задания (далее - субсидия на выполнение государственного (муниципального) задания), а также учета остатков неиспользованных субсидий, предоставленных бюджетным или автономным учреждениям, в том числе на иные цели, на осуществление капитальных вложений в объекты капитального строительства государственной (муниципальной) собственности</w:t>
      </w:r>
      <w:proofErr w:type="gramEnd"/>
      <w:r>
        <w:t xml:space="preserve"> и приобретение объектов недвижимого имущества в государственную (муниципальную) собственность (далее - целевые субсидии) и их возврата в бюджет, сообщает.</w:t>
      </w:r>
    </w:p>
    <w:p w:rsidR="00F30AFE" w:rsidRDefault="00F30AFE">
      <w:pPr>
        <w:pStyle w:val="ConsPlusNormal"/>
        <w:ind w:firstLine="540"/>
        <w:jc w:val="both"/>
      </w:pPr>
      <w:hyperlink r:id="rId5" w:history="1">
        <w:proofErr w:type="gramStart"/>
        <w:r>
          <w:rPr>
            <w:color w:val="0000FF"/>
          </w:rPr>
          <w:t>Статьей 4</w:t>
        </w:r>
      </w:hyperlink>
      <w:r>
        <w:t xml:space="preserve"> Федерального закона от 03.11.2015 N 301-ФЗ "О внесении изменений в отдельные законодательные акты Российской Федерации в связи с Федеральным законом "О федеральном бюджете на 2016 год" внесены изменения в </w:t>
      </w:r>
      <w:hyperlink r:id="rId6" w:history="1">
        <w:r>
          <w:rPr>
            <w:color w:val="0000FF"/>
          </w:rPr>
          <w:t>часть 17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w:t>
      </w:r>
      <w:proofErr w:type="gramEnd"/>
      <w:r>
        <w:t xml:space="preserve"> (</w:t>
      </w:r>
      <w:proofErr w:type="gramStart"/>
      <w:r>
        <w:t>муниципальных) учреждений", предусматривающие, что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roofErr w:type="gramEnd"/>
    </w:p>
    <w:p w:rsidR="00F30AFE" w:rsidRDefault="00F30AFE">
      <w:pPr>
        <w:pStyle w:val="ConsPlusNormal"/>
        <w:ind w:firstLine="540"/>
        <w:jc w:val="both"/>
      </w:pPr>
      <w:proofErr w:type="gramStart"/>
      <w:r>
        <w:t xml:space="preserve">В соответствии со </w:t>
      </w:r>
      <w:hyperlink r:id="rId7" w:history="1">
        <w:r>
          <w:rPr>
            <w:color w:val="0000FF"/>
          </w:rPr>
          <w:t>статьей 5</w:t>
        </w:r>
      </w:hyperlink>
      <w:r>
        <w:t xml:space="preserve"> Федерального закона от 03.11.2015 N 301-ФЗ "О внесении изменений в отдельные законодательные акты Российской Федерации в связи с Федеральным законом "О федеральном бюджете на 2016 год" средства в объеме остатков субсидий, предоставленных в 2015 году федеральным бюджетным и автономным учреждениям на финансовое обеспечение выполнения государственных заданий на оказание государственных услуг (выполнение работ), образовавшихся в связи</w:t>
      </w:r>
      <w:proofErr w:type="gramEnd"/>
      <w:r>
        <w:t xml:space="preserve"> с недостижением установленных государственным заданием показателей, характеризующих объем государственных услуг (работ), подлежат в установленном Правительством Российской Федерации порядке возврату в федеральный бюджет.</w:t>
      </w:r>
    </w:p>
    <w:p w:rsidR="00F30AFE" w:rsidRDefault="00F30AFE">
      <w:pPr>
        <w:pStyle w:val="ConsPlusNormal"/>
        <w:ind w:firstLine="540"/>
        <w:jc w:val="both"/>
      </w:pPr>
      <w:hyperlink r:id="rId8" w:history="1">
        <w:proofErr w:type="gramStart"/>
        <w:r>
          <w:rPr>
            <w:color w:val="0000FF"/>
          </w:rPr>
          <w:t>Постановлением</w:t>
        </w:r>
      </w:hyperlink>
      <w:r>
        <w:t xml:space="preserve"> Правительства РФ от 28.12.2015 N 1456 "О мерах по реализации Федерального закона "О федеральном бюджете на 2016 год" (</w:t>
      </w:r>
      <w:hyperlink r:id="rId9" w:history="1">
        <w:r>
          <w:rPr>
            <w:color w:val="0000FF"/>
          </w:rPr>
          <w:t>пункт 33</w:t>
        </w:r>
      </w:hyperlink>
      <w:r>
        <w:t xml:space="preserve">) предусмотрено, что в соответствии с </w:t>
      </w:r>
      <w:hyperlink r:id="rId10" w:history="1">
        <w:r>
          <w:rPr>
            <w:color w:val="0000FF"/>
          </w:rPr>
          <w:t>частью 2 статьи 5</w:t>
        </w:r>
      </w:hyperlink>
      <w:r>
        <w:t xml:space="preserve"> Федерального закона "О внесении изменений в отдельные законодательные акты Российской Федерации в связи с Федеральным законом "О федеральном бюджете на 2016 год" федеральные бюджетные и автономные учреждения до 1 июля</w:t>
      </w:r>
      <w:proofErr w:type="gramEnd"/>
      <w:r>
        <w:t xml:space="preserve"> </w:t>
      </w:r>
      <w:proofErr w:type="gramStart"/>
      <w:r>
        <w:t xml:space="preserve">2016 г. обеспечивают возврат в федеральный бюджет средств в объеме остатков субсидий, предоставленных им в 2015 году на финансовое обеспечение выполнения государственных заданий на оказание 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w:t>
      </w:r>
      <w:r>
        <w:lastRenderedPageBreak/>
        <w:t>государственных услуг (работ), на основании отчета о выполнении государственного задания, представленного органам, осуществляющим функции и полномочия учредителей в отношении федеральных</w:t>
      </w:r>
      <w:proofErr w:type="gramEnd"/>
      <w:r>
        <w:t xml:space="preserve"> бюджетных или автономных учреждений.</w:t>
      </w:r>
    </w:p>
    <w:p w:rsidR="00F30AFE" w:rsidRDefault="00F30AFE">
      <w:pPr>
        <w:pStyle w:val="ConsPlusNormal"/>
        <w:ind w:firstLine="540"/>
        <w:jc w:val="both"/>
      </w:pPr>
      <w:proofErr w:type="gramStart"/>
      <w:r>
        <w:t xml:space="preserve">Согласно Указаниям о </w:t>
      </w:r>
      <w:hyperlink r:id="rId11" w:history="1">
        <w:r>
          <w:rPr>
            <w:color w:val="0000FF"/>
          </w:rPr>
          <w:t>порядке</w:t>
        </w:r>
      </w:hyperlink>
      <w:r>
        <w:t xml:space="preserve"> применения бюджетной классификации Российской Федерации, утвержденным приказом Министерства финансов Российской Федерации от 1 июля 2013 г. N 65н &lt;1&gt; (далее - Указания N 65н), 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с 2016 года отнесены к аналитической группе подвида доходов бюджетов 130 "Доходы от оказания платных услуг (работ)" и</w:t>
      </w:r>
      <w:proofErr w:type="gramEnd"/>
      <w:r>
        <w:t xml:space="preserve"> статье 130 "Доходы от оказания платных услуг (работ)" классификации операций сектора государственного управления &lt;2&gt;.</w:t>
      </w:r>
    </w:p>
    <w:p w:rsidR="00F30AFE" w:rsidRDefault="00F30AFE">
      <w:pPr>
        <w:pStyle w:val="ConsPlusNormal"/>
        <w:ind w:firstLine="540"/>
        <w:jc w:val="both"/>
      </w:pPr>
      <w:r>
        <w:t>--------------------------------</w:t>
      </w:r>
    </w:p>
    <w:p w:rsidR="00F30AFE" w:rsidRDefault="00F30AFE">
      <w:pPr>
        <w:pStyle w:val="ConsPlusNormal"/>
        <w:ind w:firstLine="540"/>
        <w:jc w:val="both"/>
      </w:pPr>
      <w:r>
        <w:t>&lt;1</w:t>
      </w:r>
      <w:proofErr w:type="gramStart"/>
      <w:r>
        <w:t>&gt; В</w:t>
      </w:r>
      <w:proofErr w:type="gramEnd"/>
      <w:r>
        <w:t xml:space="preserve"> редакции </w:t>
      </w:r>
      <w:hyperlink r:id="rId12" w:history="1">
        <w:r>
          <w:rPr>
            <w:color w:val="0000FF"/>
          </w:rPr>
          <w:t>приказа</w:t>
        </w:r>
      </w:hyperlink>
      <w:r>
        <w:t xml:space="preserve"> Минфина России от 16.02.2016 N 9н (</w:t>
      </w:r>
      <w:hyperlink r:id="rId13" w:history="1">
        <w:r>
          <w:rPr>
            <w:color w:val="0000FF"/>
          </w:rPr>
          <w:t>пункт 1.4</w:t>
        </w:r>
      </w:hyperlink>
      <w:r>
        <w:t>).</w:t>
      </w:r>
    </w:p>
    <w:p w:rsidR="00F30AFE" w:rsidRDefault="00F30AFE">
      <w:pPr>
        <w:pStyle w:val="ConsPlusNormal"/>
        <w:ind w:firstLine="540"/>
        <w:jc w:val="both"/>
      </w:pPr>
      <w:r>
        <w:t xml:space="preserve">&lt;2&gt; Перенос исходящих остатков по аналитическим счетам бухгалтерского учета бюджетного (автономного) учреждения, сформированных по состоянию на 01.01.2016, осуществляется в соответствии с </w:t>
      </w:r>
      <w:hyperlink r:id="rId14" w:history="1">
        <w:r>
          <w:rPr>
            <w:color w:val="0000FF"/>
          </w:rPr>
          <w:t>письмом</w:t>
        </w:r>
      </w:hyperlink>
      <w:r>
        <w:t xml:space="preserve"> Минфина России от 14.03.2016 N 02-07-07/14989 "О формировании входящих остатков по счетам бюджетного (бухгалтерского) учета по состоянию на 01.01.2016".</w:t>
      </w:r>
    </w:p>
    <w:p w:rsidR="00F30AFE" w:rsidRDefault="00F30AFE">
      <w:pPr>
        <w:pStyle w:val="ConsPlusNormal"/>
        <w:jc w:val="both"/>
      </w:pPr>
    </w:p>
    <w:p w:rsidR="00F30AFE" w:rsidRDefault="00F30AFE">
      <w:pPr>
        <w:pStyle w:val="ConsPlusNormal"/>
        <w:ind w:firstLine="540"/>
        <w:jc w:val="both"/>
      </w:pPr>
      <w:r>
        <w:t>Таким образом, отражение в бухгалтерском учете бюджетных и автономных учреждений операций по предоставленным государственным (муниципальным) бюджетным и автономным учреждениям субсидиям и возврату их остатков следует отражать следующими бухгалтерскими записями &lt;1&gt;.</w:t>
      </w:r>
    </w:p>
    <w:p w:rsidR="00F30AFE" w:rsidRDefault="00F30AFE">
      <w:pPr>
        <w:pStyle w:val="ConsPlusNormal"/>
        <w:ind w:firstLine="540"/>
        <w:jc w:val="both"/>
      </w:pPr>
      <w:r>
        <w:t>--------------------------------</w:t>
      </w:r>
    </w:p>
    <w:p w:rsidR="00F30AFE" w:rsidRDefault="00F30AFE">
      <w:pPr>
        <w:pStyle w:val="ConsPlusNormal"/>
        <w:ind w:firstLine="540"/>
        <w:jc w:val="both"/>
      </w:pPr>
      <w:r>
        <w:t xml:space="preserve">&lt;1&gt; Отражение в бюджетном учете органа, выполняющего функции и полномочия учредителя, операций по предоставлению субсидии осуществляется согласно положениям </w:t>
      </w:r>
      <w:hyperlink r:id="rId15" w:history="1">
        <w:r>
          <w:rPr>
            <w:color w:val="0000FF"/>
          </w:rPr>
          <w:t>Инструкции</w:t>
        </w:r>
      </w:hyperlink>
      <w:r>
        <w:t xml:space="preserve"> по применению Плана счетов бюджетного учета, утвержденной приказом Минфина России от 06.12.2010 N 162н, с учетом </w:t>
      </w:r>
      <w:hyperlink r:id="rId16" w:history="1">
        <w:r>
          <w:rPr>
            <w:color w:val="0000FF"/>
          </w:rPr>
          <w:t>письма</w:t>
        </w:r>
      </w:hyperlink>
      <w:r>
        <w:t xml:space="preserve"> Минфина России от 05.04.2013 N 02-06-07/11164.</w:t>
      </w:r>
    </w:p>
    <w:p w:rsidR="00F30AFE" w:rsidRDefault="00F30AFE">
      <w:pPr>
        <w:pStyle w:val="ConsPlusNormal"/>
        <w:jc w:val="both"/>
      </w:pPr>
    </w:p>
    <w:p w:rsidR="00F30AFE" w:rsidRDefault="00F30AFE">
      <w:pPr>
        <w:pStyle w:val="ConsPlusNormal"/>
        <w:ind w:firstLine="540"/>
        <w:jc w:val="both"/>
      </w:pPr>
      <w:r>
        <w:t>Начисление доходов будущих периодов в сумме субсидий на выполнение государственного (муниципального) задания на основании соответствующих соглашений, заключенных с Учредителем, отражается по дебету счета 420530000 "Расчеты по доходам от оказания платных работ, услуг" и кредиту счета 440140130 "Доходы будущих периодов от оказания платных услуг".</w:t>
      </w:r>
    </w:p>
    <w:p w:rsidR="00F30AFE" w:rsidRDefault="00F30AFE">
      <w:pPr>
        <w:pStyle w:val="ConsPlusNormal"/>
        <w:ind w:firstLine="540"/>
        <w:jc w:val="both"/>
      </w:pPr>
      <w:proofErr w:type="gramStart"/>
      <w:r>
        <w:t>При наступлении даты предоставления субсидии в соответствии с условиями соглашения вне зависимости от факта</w:t>
      </w:r>
      <w:proofErr w:type="gramEnd"/>
      <w:r>
        <w:t xml:space="preserve"> перечисления субсидии на выполнение государственного (муниципального) задания:</w:t>
      </w:r>
    </w:p>
    <w:p w:rsidR="00F30AFE" w:rsidRDefault="00F30AFE">
      <w:pPr>
        <w:pStyle w:val="ConsPlusNormal"/>
        <w:ind w:firstLine="540"/>
        <w:jc w:val="both"/>
      </w:pPr>
      <w:r>
        <w:t>- признание доходами текущего (отчетного) периода ранее начисленных доходов будущих периодов в сумме субсидий на выполнение государственного (муниципального) задания отражается по дебету соответствующих счетов аналитического учета счета 440140130 "Доходы будущих периодов от оказания платных услуг" и кредиту счета 440110130 "Доходы от оказания платных услуг";</w:t>
      </w:r>
    </w:p>
    <w:p w:rsidR="00F30AFE" w:rsidRDefault="00F30AFE">
      <w:pPr>
        <w:pStyle w:val="ConsPlusNormal"/>
        <w:ind w:firstLine="540"/>
        <w:jc w:val="both"/>
      </w:pPr>
      <w:r>
        <w:t>- начисление доходов текущего (отчетного) финансового года в сумме субсидий на выполнение государственного (муниципального) задания отражается по дебету счета 420530000 "Расчеты по доходам от оказания платных работ, услуг" и кредиту счетов 440110130 "Доходы от оказания платных услуг".</w:t>
      </w:r>
    </w:p>
    <w:p w:rsidR="00F30AFE" w:rsidRDefault="00F30AFE">
      <w:pPr>
        <w:pStyle w:val="ConsPlusNormal"/>
        <w:ind w:firstLine="540"/>
        <w:jc w:val="both"/>
      </w:pPr>
      <w:proofErr w:type="gramStart"/>
      <w:r>
        <w:t>Начисление задолженности бюджетного или автономного учреждения по возврату в доход бюджета остатков предоставленных бюджетным или автономным учреждениям субсидий на выполнение государственного (муниципального) задания, образовавшихся в связи с недостижением установленных государственным заданием показателей, характеризующих объем государственных (муниципальных) услуг (работ), на основании отчета о выполнении государственного (муниципального) задания, представленного органам, осуществляющим функции и полномочия учредителей в отношении бюджетных или автономных учреждений, отражается</w:t>
      </w:r>
      <w:proofErr w:type="gramEnd"/>
      <w:r>
        <w:t xml:space="preserve"> по дебету счета 440110130 "Доходы от оказания платных услуг" и кредиту счета 430305000 "Расчеты по прочим платежам в бюджет".</w:t>
      </w:r>
    </w:p>
    <w:p w:rsidR="00F30AFE" w:rsidRDefault="00F30AFE">
      <w:pPr>
        <w:pStyle w:val="ConsPlusNormal"/>
        <w:ind w:firstLine="540"/>
        <w:jc w:val="both"/>
      </w:pPr>
      <w:r>
        <w:t xml:space="preserve">Отражение в учете бюджетного или автономного учреждения увеличения задолженности по </w:t>
      </w:r>
      <w:r>
        <w:lastRenderedPageBreak/>
        <w:t>возврату неиспользованных остатков целевых субсидий в доход бюджета отражается по дебету счета 020581000 "Расчеты с плательщиками прочих доходов" и кредиту счета 030305000 "Расчеты по прочим платежам в бюджет" (530305000, 630305000).</w:t>
      </w:r>
    </w:p>
    <w:p w:rsidR="00F30AFE" w:rsidRDefault="00F30AFE">
      <w:pPr>
        <w:pStyle w:val="ConsPlusNormal"/>
        <w:ind w:firstLine="540"/>
        <w:jc w:val="both"/>
      </w:pPr>
      <w:proofErr w:type="gramStart"/>
      <w:r>
        <w:t>Начисление задолженности бюджетного или автономного учреждения по возврату в доход бюджета остатков неиспользованных целевых субсидий в случае выявления по результатам последующего государственного (муниципального) финансового контроля нарушений порядка использования указанных субсидий отражается по дебету счета 040110180 "Прочие доходы" (540110180, 640110180) и кредиту счета 030305000 "Расчеты по прочим платежам в бюджет" (530305000, 630305000).</w:t>
      </w:r>
      <w:proofErr w:type="gramEnd"/>
    </w:p>
    <w:p w:rsidR="00F30AFE" w:rsidRDefault="00F30AFE">
      <w:pPr>
        <w:pStyle w:val="ConsPlusNormal"/>
        <w:ind w:firstLine="540"/>
        <w:jc w:val="both"/>
      </w:pPr>
      <w:proofErr w:type="gramStart"/>
      <w:r>
        <w:t>Уменьшение задолженности перед бюджетом по возврату в доход бюджета остатков неиспользованных целевых субсидий при принятии решения о наличии потребности в целевых средствах (в случае, если остаток средств не перечислялся в доход бюджета) отражается по дебету счета 030305000 "Расчеты по прочим платежам в бюджет" (530305000, 630305000) и кредиту счета 020581000 "Расчеты с плательщиками прочих доходов".</w:t>
      </w:r>
      <w:proofErr w:type="gramEnd"/>
    </w:p>
    <w:p w:rsidR="00F30AFE" w:rsidRDefault="00F30AFE">
      <w:pPr>
        <w:pStyle w:val="ConsPlusNormal"/>
        <w:ind w:firstLine="540"/>
        <w:jc w:val="both"/>
      </w:pPr>
      <w:r>
        <w:t>Поступление возврата из бюджета средств целевой субсидии при принятии решения о наличии потребности в целевых средствах отражается по дебету счета 020111000 (520111000, 620111000) и кредиту счета 020581000 "Расчеты с плательщиками прочих доходов" &lt;1&gt;.</w:t>
      </w:r>
    </w:p>
    <w:p w:rsidR="00F30AFE" w:rsidRDefault="00F30AFE">
      <w:pPr>
        <w:pStyle w:val="ConsPlusNormal"/>
        <w:ind w:firstLine="540"/>
        <w:jc w:val="both"/>
      </w:pPr>
      <w:r>
        <w:t>--------------------------------</w:t>
      </w:r>
    </w:p>
    <w:p w:rsidR="00F30AFE" w:rsidRDefault="00F30AFE">
      <w:pPr>
        <w:pStyle w:val="ConsPlusNormal"/>
        <w:ind w:firstLine="540"/>
        <w:jc w:val="both"/>
      </w:pPr>
      <w:r>
        <w:t>&lt;1</w:t>
      </w:r>
      <w:proofErr w:type="gramStart"/>
      <w:r>
        <w:t>&gt; В</w:t>
      </w:r>
      <w:proofErr w:type="gramEnd"/>
      <w:r>
        <w:t xml:space="preserve"> </w:t>
      </w:r>
      <w:hyperlink r:id="rId17" w:history="1">
        <w:r>
          <w:rPr>
            <w:color w:val="0000FF"/>
          </w:rPr>
          <w:t>Инструкцию</w:t>
        </w:r>
      </w:hyperlink>
      <w:r>
        <w:t xml:space="preserve"> по применению Плана счетов бухгалтерского учета бюджетных учреждений, утвержденную приказом Минфина России от 16.12.2010 N 174н, </w:t>
      </w:r>
      <w:hyperlink r:id="rId18" w:history="1">
        <w:r>
          <w:rPr>
            <w:color w:val="0000FF"/>
          </w:rPr>
          <w:t>Инструкцию</w:t>
        </w:r>
      </w:hyperlink>
      <w:r>
        <w:t xml:space="preserve"> по применению Плана счетов бухгалтерского учета автономных учреждений, утвержденную приказом Минфина России от 23.12.2010 N 183н, подготовлены соответствующие изменения. Проект изменений размещен на официальном сайте Минфина России в разделе "Бухгалтерский учет и бухгалтерская (финансовая) отчетность государственного сектора". Интернет адрес сайта - http://www.minfin.ru.</w:t>
      </w:r>
    </w:p>
    <w:p w:rsidR="00F30AFE" w:rsidRDefault="00F30AFE">
      <w:pPr>
        <w:sectPr w:rsidR="00F30AFE" w:rsidSect="00A30D44">
          <w:pgSz w:w="11906" w:h="16838"/>
          <w:pgMar w:top="1134" w:right="850" w:bottom="1134" w:left="1701" w:header="708" w:footer="708" w:gutter="0"/>
          <w:cols w:space="708"/>
          <w:docGrid w:linePitch="360"/>
        </w:sectPr>
      </w:pPr>
    </w:p>
    <w:p w:rsidR="00F30AFE" w:rsidRDefault="00F30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
        <w:gridCol w:w="3539"/>
        <w:gridCol w:w="2740"/>
        <w:gridCol w:w="2707"/>
      </w:tblGrid>
      <w:tr w:rsidR="00F30AFE">
        <w:tc>
          <w:tcPr>
            <w:tcW w:w="515" w:type="dxa"/>
          </w:tcPr>
          <w:p w:rsidR="00F30AFE" w:rsidRDefault="00F30AFE">
            <w:pPr>
              <w:pStyle w:val="ConsPlusNormal"/>
              <w:jc w:val="center"/>
            </w:pPr>
            <w:r>
              <w:t xml:space="preserve">N </w:t>
            </w:r>
            <w:proofErr w:type="gramStart"/>
            <w:r>
              <w:t>п</w:t>
            </w:r>
            <w:proofErr w:type="gramEnd"/>
            <w:r>
              <w:t>/п</w:t>
            </w:r>
          </w:p>
        </w:tc>
        <w:tc>
          <w:tcPr>
            <w:tcW w:w="3539" w:type="dxa"/>
          </w:tcPr>
          <w:p w:rsidR="00F30AFE" w:rsidRDefault="00F30AFE">
            <w:pPr>
              <w:pStyle w:val="ConsPlusNormal"/>
              <w:jc w:val="center"/>
            </w:pPr>
            <w:r>
              <w:t>Описание операции</w:t>
            </w:r>
          </w:p>
        </w:tc>
        <w:tc>
          <w:tcPr>
            <w:tcW w:w="2740" w:type="dxa"/>
          </w:tcPr>
          <w:p w:rsidR="00F30AFE" w:rsidRDefault="00F30AFE">
            <w:pPr>
              <w:pStyle w:val="ConsPlusNormal"/>
              <w:jc w:val="center"/>
            </w:pPr>
            <w:r>
              <w:t>Дебет</w:t>
            </w:r>
          </w:p>
        </w:tc>
        <w:tc>
          <w:tcPr>
            <w:tcW w:w="2707" w:type="dxa"/>
          </w:tcPr>
          <w:p w:rsidR="00F30AFE" w:rsidRDefault="00F30AFE">
            <w:pPr>
              <w:pStyle w:val="ConsPlusNormal"/>
              <w:jc w:val="center"/>
            </w:pPr>
            <w:r>
              <w:t>Кредит</w:t>
            </w:r>
          </w:p>
        </w:tc>
      </w:tr>
      <w:tr w:rsidR="00F30AFE">
        <w:tc>
          <w:tcPr>
            <w:tcW w:w="515" w:type="dxa"/>
            <w:vMerge w:val="restart"/>
          </w:tcPr>
          <w:p w:rsidR="00F30AFE" w:rsidRDefault="00F30AFE">
            <w:pPr>
              <w:pStyle w:val="ConsPlusNormal"/>
              <w:jc w:val="center"/>
            </w:pPr>
            <w:r>
              <w:t>1</w:t>
            </w:r>
          </w:p>
        </w:tc>
        <w:tc>
          <w:tcPr>
            <w:tcW w:w="3539" w:type="dxa"/>
            <w:vMerge w:val="restart"/>
            <w:vAlign w:val="center"/>
          </w:tcPr>
          <w:p w:rsidR="00F30AFE" w:rsidRDefault="00F30AFE">
            <w:pPr>
              <w:pStyle w:val="ConsPlusNormal"/>
              <w:jc w:val="both"/>
            </w:pPr>
            <w:r>
              <w:t>Начисление доходов будущих периодов в сумме субсидий на выполнение государственного (муниципального) задания</w:t>
            </w:r>
          </w:p>
        </w:tc>
        <w:tc>
          <w:tcPr>
            <w:tcW w:w="2740" w:type="dxa"/>
            <w:tcBorders>
              <w:bottom w:val="nil"/>
            </w:tcBorders>
            <w:vAlign w:val="center"/>
          </w:tcPr>
          <w:p w:rsidR="00F30AFE" w:rsidRDefault="00F30AFE">
            <w:pPr>
              <w:pStyle w:val="ConsPlusNormal"/>
              <w:jc w:val="center"/>
            </w:pPr>
            <w:r>
              <w:t>00 00 0000000000 130</w:t>
            </w:r>
          </w:p>
          <w:p w:rsidR="00F30AFE" w:rsidRDefault="00F30AFE">
            <w:pPr>
              <w:pStyle w:val="ConsPlusNormal"/>
              <w:jc w:val="center"/>
            </w:pPr>
            <w:r>
              <w:t>4 205 30 000</w:t>
            </w:r>
          </w:p>
        </w:tc>
        <w:tc>
          <w:tcPr>
            <w:tcW w:w="2707" w:type="dxa"/>
            <w:tcBorders>
              <w:bottom w:val="nil"/>
            </w:tcBorders>
            <w:vAlign w:val="center"/>
          </w:tcPr>
          <w:p w:rsidR="00F30AFE" w:rsidRDefault="00F30AFE">
            <w:pPr>
              <w:pStyle w:val="ConsPlusNormal"/>
              <w:jc w:val="center"/>
            </w:pPr>
            <w:r>
              <w:t>00 00 0000000000 130</w:t>
            </w:r>
          </w:p>
          <w:p w:rsidR="00F30AFE" w:rsidRDefault="00F30AFE">
            <w:pPr>
              <w:pStyle w:val="ConsPlusNormal"/>
              <w:jc w:val="center"/>
            </w:pPr>
            <w:r>
              <w:t xml:space="preserve">4 401 40 130 </w:t>
            </w:r>
            <w:hyperlink w:anchor="P130" w:history="1">
              <w:r>
                <w:rPr>
                  <w:color w:val="0000FF"/>
                </w:rPr>
                <w:t>&lt;1&gt;</w:t>
              </w:r>
            </w:hyperlink>
          </w:p>
        </w:tc>
      </w:tr>
      <w:tr w:rsidR="00F30AFE">
        <w:tc>
          <w:tcPr>
            <w:tcW w:w="515" w:type="dxa"/>
            <w:vMerge/>
          </w:tcPr>
          <w:p w:rsidR="00F30AFE" w:rsidRDefault="00F30AFE"/>
        </w:tc>
        <w:tc>
          <w:tcPr>
            <w:tcW w:w="3539" w:type="dxa"/>
            <w:vMerge/>
          </w:tcPr>
          <w:p w:rsidR="00F30AFE" w:rsidRDefault="00F30AFE"/>
        </w:tc>
        <w:tc>
          <w:tcPr>
            <w:tcW w:w="2740" w:type="dxa"/>
            <w:tcBorders>
              <w:top w:val="nil"/>
            </w:tcBorders>
            <w:vAlign w:val="center"/>
          </w:tcPr>
          <w:p w:rsidR="00F30AFE" w:rsidRDefault="00F30AFE">
            <w:pPr>
              <w:pStyle w:val="ConsPlusNormal"/>
              <w:jc w:val="center"/>
            </w:pPr>
            <w:proofErr w:type="gramStart"/>
            <w:r>
              <w:t>(00 00 0000000000 130</w:t>
            </w:r>
            <w:proofErr w:type="gramEnd"/>
          </w:p>
          <w:p w:rsidR="00F30AFE" w:rsidRDefault="00F30AFE">
            <w:pPr>
              <w:pStyle w:val="ConsPlusNormal"/>
              <w:jc w:val="center"/>
            </w:pPr>
            <w:proofErr w:type="gramStart"/>
            <w:r>
              <w:t>4 205 31 560)</w:t>
            </w:r>
            <w:proofErr w:type="gramEnd"/>
          </w:p>
        </w:tc>
        <w:tc>
          <w:tcPr>
            <w:tcW w:w="2707" w:type="dxa"/>
            <w:tcBorders>
              <w:top w:val="nil"/>
            </w:tcBorders>
            <w:vAlign w:val="center"/>
          </w:tcPr>
          <w:p w:rsidR="00F30AFE" w:rsidRDefault="00F30AFE">
            <w:pPr>
              <w:pStyle w:val="ConsPlusNormal"/>
              <w:jc w:val="center"/>
            </w:pPr>
            <w:proofErr w:type="gramStart"/>
            <w:r>
              <w:t>(00 00 0000000000 130</w:t>
            </w:r>
            <w:proofErr w:type="gramEnd"/>
          </w:p>
          <w:p w:rsidR="00F30AFE" w:rsidRDefault="00F30AFE">
            <w:pPr>
              <w:pStyle w:val="ConsPlusNormal"/>
              <w:jc w:val="center"/>
            </w:pPr>
            <w:proofErr w:type="gramStart"/>
            <w:r>
              <w:t xml:space="preserve">4 401 40 130 </w:t>
            </w:r>
            <w:hyperlink w:anchor="P130" w:history="1">
              <w:r>
                <w:rPr>
                  <w:color w:val="0000FF"/>
                </w:rPr>
                <w:t>&lt;1&gt;</w:t>
              </w:r>
            </w:hyperlink>
            <w:r>
              <w:t>)</w:t>
            </w:r>
            <w:proofErr w:type="gramEnd"/>
          </w:p>
        </w:tc>
      </w:tr>
      <w:tr w:rsidR="00F30AFE">
        <w:tc>
          <w:tcPr>
            <w:tcW w:w="515" w:type="dxa"/>
          </w:tcPr>
          <w:p w:rsidR="00F30AFE" w:rsidRDefault="00F30AFE">
            <w:pPr>
              <w:pStyle w:val="ConsPlusNormal"/>
              <w:jc w:val="center"/>
            </w:pPr>
            <w:r>
              <w:t>2</w:t>
            </w:r>
          </w:p>
        </w:tc>
        <w:tc>
          <w:tcPr>
            <w:tcW w:w="3539" w:type="dxa"/>
            <w:vAlign w:val="center"/>
          </w:tcPr>
          <w:p w:rsidR="00F30AFE" w:rsidRDefault="00F30AFE">
            <w:pPr>
              <w:pStyle w:val="ConsPlusNormal"/>
              <w:jc w:val="both"/>
            </w:pPr>
            <w:r>
              <w:t>Признание доходами текущего (отчетного) периода доходов будущих периодов субсидий на выполнение государственного (муниципального) задания</w:t>
            </w:r>
          </w:p>
        </w:tc>
        <w:tc>
          <w:tcPr>
            <w:tcW w:w="2740" w:type="dxa"/>
            <w:vAlign w:val="center"/>
          </w:tcPr>
          <w:p w:rsidR="00F30AFE" w:rsidRDefault="00F30AFE">
            <w:pPr>
              <w:pStyle w:val="ConsPlusNormal"/>
              <w:jc w:val="center"/>
            </w:pPr>
            <w:r>
              <w:t>00 00 0000000000 130</w:t>
            </w:r>
          </w:p>
          <w:p w:rsidR="00F30AFE" w:rsidRDefault="00F30AFE">
            <w:pPr>
              <w:pStyle w:val="ConsPlusNormal"/>
              <w:jc w:val="center"/>
            </w:pPr>
            <w:r>
              <w:t xml:space="preserve">4 401 40 130 </w:t>
            </w:r>
            <w:hyperlink w:anchor="P130" w:history="1">
              <w:r>
                <w:rPr>
                  <w:color w:val="0000FF"/>
                </w:rPr>
                <w:t>&lt;1&gt;</w:t>
              </w:r>
            </w:hyperlink>
          </w:p>
        </w:tc>
        <w:tc>
          <w:tcPr>
            <w:tcW w:w="2707" w:type="dxa"/>
            <w:vAlign w:val="center"/>
          </w:tcPr>
          <w:p w:rsidR="00F30AFE" w:rsidRDefault="00F30AFE">
            <w:pPr>
              <w:pStyle w:val="ConsPlusNormal"/>
              <w:jc w:val="center"/>
            </w:pPr>
            <w:r>
              <w:t>00 00 0000000000 130</w:t>
            </w:r>
          </w:p>
          <w:p w:rsidR="00F30AFE" w:rsidRDefault="00F30AFE">
            <w:pPr>
              <w:pStyle w:val="ConsPlusNormal"/>
              <w:jc w:val="center"/>
            </w:pPr>
            <w:r>
              <w:t xml:space="preserve">4 401 10 130 </w:t>
            </w:r>
            <w:hyperlink w:anchor="P130" w:history="1">
              <w:r>
                <w:rPr>
                  <w:color w:val="0000FF"/>
                </w:rPr>
                <w:t>&lt;1&gt;</w:t>
              </w:r>
            </w:hyperlink>
          </w:p>
        </w:tc>
      </w:tr>
      <w:tr w:rsidR="00F30AFE">
        <w:tc>
          <w:tcPr>
            <w:tcW w:w="515" w:type="dxa"/>
          </w:tcPr>
          <w:p w:rsidR="00F30AFE" w:rsidRDefault="00F30AFE">
            <w:pPr>
              <w:pStyle w:val="ConsPlusNormal"/>
              <w:jc w:val="center"/>
            </w:pPr>
            <w:r>
              <w:t>3</w:t>
            </w:r>
          </w:p>
        </w:tc>
        <w:tc>
          <w:tcPr>
            <w:tcW w:w="3539" w:type="dxa"/>
            <w:vAlign w:val="center"/>
          </w:tcPr>
          <w:p w:rsidR="00F30AFE" w:rsidRDefault="00F30AFE">
            <w:pPr>
              <w:pStyle w:val="ConsPlusNormal"/>
              <w:jc w:val="both"/>
            </w:pPr>
            <w:r>
              <w:t>Начисление доходов в виде субсидий на выполнение государственного (муниципального) задания</w:t>
            </w:r>
          </w:p>
        </w:tc>
        <w:tc>
          <w:tcPr>
            <w:tcW w:w="2740" w:type="dxa"/>
            <w:vAlign w:val="center"/>
          </w:tcPr>
          <w:p w:rsidR="00F30AFE" w:rsidRDefault="00F30AFE">
            <w:pPr>
              <w:pStyle w:val="ConsPlusNormal"/>
              <w:jc w:val="center"/>
            </w:pPr>
            <w:r>
              <w:t>00 00 0000000000 130</w:t>
            </w:r>
          </w:p>
          <w:p w:rsidR="00F30AFE" w:rsidRDefault="00F30AFE">
            <w:pPr>
              <w:pStyle w:val="ConsPlusNormal"/>
              <w:jc w:val="center"/>
            </w:pPr>
            <w:r>
              <w:t>4 205 30 000</w:t>
            </w:r>
          </w:p>
          <w:p w:rsidR="00F30AFE" w:rsidRDefault="00F30AFE">
            <w:pPr>
              <w:pStyle w:val="ConsPlusNormal"/>
              <w:jc w:val="center"/>
            </w:pPr>
            <w:r>
              <w:t>(4 205 31 560)</w:t>
            </w:r>
          </w:p>
        </w:tc>
        <w:tc>
          <w:tcPr>
            <w:tcW w:w="2707" w:type="dxa"/>
            <w:vAlign w:val="center"/>
          </w:tcPr>
          <w:p w:rsidR="00F30AFE" w:rsidRDefault="00F30AFE">
            <w:pPr>
              <w:pStyle w:val="ConsPlusNormal"/>
              <w:jc w:val="center"/>
            </w:pPr>
            <w:r>
              <w:t>00 00 0000000000 130</w:t>
            </w:r>
          </w:p>
          <w:p w:rsidR="00F30AFE" w:rsidRDefault="00F30AFE">
            <w:pPr>
              <w:pStyle w:val="ConsPlusNormal"/>
              <w:jc w:val="center"/>
            </w:pPr>
            <w:r>
              <w:t xml:space="preserve">4 401 10 130 </w:t>
            </w:r>
            <w:hyperlink w:anchor="P130" w:history="1">
              <w:r>
                <w:rPr>
                  <w:color w:val="0000FF"/>
                </w:rPr>
                <w:t>&lt;1&gt;</w:t>
              </w:r>
            </w:hyperlink>
          </w:p>
        </w:tc>
      </w:tr>
      <w:tr w:rsidR="00F30AFE">
        <w:tc>
          <w:tcPr>
            <w:tcW w:w="515" w:type="dxa"/>
          </w:tcPr>
          <w:p w:rsidR="00F30AFE" w:rsidRDefault="00F30AFE">
            <w:pPr>
              <w:pStyle w:val="ConsPlusNormal"/>
              <w:jc w:val="center"/>
            </w:pPr>
            <w:r>
              <w:t>4</w:t>
            </w:r>
          </w:p>
        </w:tc>
        <w:tc>
          <w:tcPr>
            <w:tcW w:w="3539" w:type="dxa"/>
            <w:vAlign w:val="center"/>
          </w:tcPr>
          <w:p w:rsidR="00F30AFE" w:rsidRDefault="00F30AFE">
            <w:pPr>
              <w:pStyle w:val="ConsPlusNormal"/>
              <w:jc w:val="both"/>
            </w:pPr>
            <w:r>
              <w:t>Начисление задолженности по возврату в доход бюджета остатков субсидий, предоставленных на финансовое обеспечение выполнения государственных (муниципальных) заданий</w:t>
            </w:r>
          </w:p>
        </w:tc>
        <w:tc>
          <w:tcPr>
            <w:tcW w:w="2740" w:type="dxa"/>
            <w:vAlign w:val="center"/>
          </w:tcPr>
          <w:p w:rsidR="00F30AFE" w:rsidRDefault="00F30AFE">
            <w:pPr>
              <w:pStyle w:val="ConsPlusNormal"/>
              <w:jc w:val="center"/>
            </w:pPr>
            <w:r>
              <w:t>00 00 0000000000 130</w:t>
            </w:r>
          </w:p>
          <w:p w:rsidR="00F30AFE" w:rsidRDefault="00F30AFE">
            <w:pPr>
              <w:pStyle w:val="ConsPlusNormal"/>
              <w:jc w:val="center"/>
            </w:pPr>
            <w:r>
              <w:t xml:space="preserve">4 401 10 130 </w:t>
            </w:r>
            <w:hyperlink w:anchor="P130" w:history="1">
              <w:r>
                <w:rPr>
                  <w:color w:val="0000FF"/>
                </w:rPr>
                <w:t>&lt;1&gt;</w:t>
              </w:r>
            </w:hyperlink>
          </w:p>
        </w:tc>
        <w:tc>
          <w:tcPr>
            <w:tcW w:w="2707" w:type="dxa"/>
            <w:vAlign w:val="center"/>
          </w:tcPr>
          <w:p w:rsidR="00F30AFE" w:rsidRDefault="00F30AFE">
            <w:pPr>
              <w:pStyle w:val="ConsPlusNormal"/>
              <w:jc w:val="center"/>
            </w:pPr>
            <w:r>
              <w:t>00 00 0000000000 130</w:t>
            </w:r>
          </w:p>
          <w:p w:rsidR="00F30AFE" w:rsidRDefault="00F30AFE">
            <w:pPr>
              <w:pStyle w:val="ConsPlusNormal"/>
              <w:jc w:val="center"/>
            </w:pPr>
            <w:r>
              <w:t>4 303 05 000</w:t>
            </w:r>
          </w:p>
          <w:p w:rsidR="00F30AFE" w:rsidRDefault="00F30AFE">
            <w:pPr>
              <w:pStyle w:val="ConsPlusNormal"/>
              <w:jc w:val="center"/>
            </w:pPr>
            <w:r>
              <w:t>(4 303 05 730)</w:t>
            </w:r>
          </w:p>
        </w:tc>
      </w:tr>
      <w:tr w:rsidR="00F30AFE">
        <w:tc>
          <w:tcPr>
            <w:tcW w:w="515" w:type="dxa"/>
            <w:vMerge w:val="restart"/>
          </w:tcPr>
          <w:p w:rsidR="00F30AFE" w:rsidRDefault="00F30AFE">
            <w:pPr>
              <w:pStyle w:val="ConsPlusNormal"/>
              <w:jc w:val="center"/>
            </w:pPr>
            <w:r>
              <w:t>5</w:t>
            </w:r>
          </w:p>
        </w:tc>
        <w:tc>
          <w:tcPr>
            <w:tcW w:w="3539" w:type="dxa"/>
            <w:vMerge w:val="restart"/>
            <w:vAlign w:val="center"/>
          </w:tcPr>
          <w:p w:rsidR="00F30AFE" w:rsidRDefault="00F30AFE">
            <w:pPr>
              <w:pStyle w:val="ConsPlusNormal"/>
              <w:jc w:val="both"/>
            </w:pPr>
            <w:r>
              <w:t>Увеличение задолженности по возврату неиспользованных остатков субсидий, имеющих целевое назначение, в доход бюджета</w:t>
            </w:r>
          </w:p>
        </w:tc>
        <w:tc>
          <w:tcPr>
            <w:tcW w:w="2740" w:type="dxa"/>
            <w:tcBorders>
              <w:bottom w:val="nil"/>
            </w:tcBorders>
            <w:vAlign w:val="center"/>
          </w:tcPr>
          <w:p w:rsidR="00F30AFE" w:rsidRDefault="00F30AFE">
            <w:pPr>
              <w:pStyle w:val="ConsPlusNormal"/>
              <w:jc w:val="center"/>
            </w:pPr>
            <w:r>
              <w:t>00 00 0000000000 180</w:t>
            </w:r>
          </w:p>
          <w:p w:rsidR="00F30AFE" w:rsidRDefault="00F30AFE">
            <w:pPr>
              <w:pStyle w:val="ConsPlusNormal"/>
              <w:jc w:val="center"/>
            </w:pPr>
            <w:r>
              <w:t>0 205 81 000</w:t>
            </w:r>
          </w:p>
          <w:p w:rsidR="00F30AFE" w:rsidRDefault="00F30AFE">
            <w:pPr>
              <w:pStyle w:val="ConsPlusNormal"/>
              <w:jc w:val="center"/>
            </w:pPr>
            <w:r>
              <w:t>(5 205 81 000, 6 205 81 000)</w:t>
            </w:r>
          </w:p>
        </w:tc>
        <w:tc>
          <w:tcPr>
            <w:tcW w:w="2707" w:type="dxa"/>
            <w:tcBorders>
              <w:bottom w:val="nil"/>
            </w:tcBorders>
            <w:vAlign w:val="center"/>
          </w:tcPr>
          <w:p w:rsidR="00F30AFE" w:rsidRDefault="00F30AFE">
            <w:pPr>
              <w:pStyle w:val="ConsPlusNormal"/>
              <w:jc w:val="center"/>
            </w:pPr>
            <w:r>
              <w:t>00 00 0000000000 180</w:t>
            </w:r>
          </w:p>
          <w:p w:rsidR="00F30AFE" w:rsidRDefault="00F30AFE">
            <w:pPr>
              <w:pStyle w:val="ConsPlusNormal"/>
              <w:jc w:val="center"/>
            </w:pPr>
            <w:r>
              <w:t>0 303 05 000</w:t>
            </w:r>
          </w:p>
          <w:p w:rsidR="00F30AFE" w:rsidRDefault="00F30AFE">
            <w:pPr>
              <w:pStyle w:val="ConsPlusNormal"/>
              <w:jc w:val="center"/>
            </w:pPr>
            <w:r>
              <w:t>(5 303 05 000, 6 303 05 000)</w:t>
            </w:r>
          </w:p>
        </w:tc>
      </w:tr>
      <w:tr w:rsidR="00F30AFE">
        <w:tc>
          <w:tcPr>
            <w:tcW w:w="515" w:type="dxa"/>
            <w:vMerge/>
          </w:tcPr>
          <w:p w:rsidR="00F30AFE" w:rsidRDefault="00F30AFE"/>
        </w:tc>
        <w:tc>
          <w:tcPr>
            <w:tcW w:w="3539" w:type="dxa"/>
            <w:vMerge/>
          </w:tcPr>
          <w:p w:rsidR="00F30AFE" w:rsidRDefault="00F30AFE"/>
        </w:tc>
        <w:tc>
          <w:tcPr>
            <w:tcW w:w="2740" w:type="dxa"/>
            <w:tcBorders>
              <w:top w:val="nil"/>
            </w:tcBorders>
            <w:vAlign w:val="center"/>
          </w:tcPr>
          <w:p w:rsidR="00F30AFE" w:rsidRDefault="00F30AFE">
            <w:pPr>
              <w:pStyle w:val="ConsPlusNormal"/>
              <w:jc w:val="center"/>
            </w:pPr>
            <w:proofErr w:type="gramStart"/>
            <w:r>
              <w:t>(5 205 81 560,</w:t>
            </w:r>
            <w:proofErr w:type="gramEnd"/>
          </w:p>
          <w:p w:rsidR="00F30AFE" w:rsidRDefault="00F30AFE">
            <w:pPr>
              <w:pStyle w:val="ConsPlusNormal"/>
              <w:jc w:val="center"/>
            </w:pPr>
            <w:proofErr w:type="gramStart"/>
            <w:r>
              <w:t>6 205 81 560)</w:t>
            </w:r>
            <w:proofErr w:type="gramEnd"/>
          </w:p>
        </w:tc>
        <w:tc>
          <w:tcPr>
            <w:tcW w:w="2707" w:type="dxa"/>
            <w:tcBorders>
              <w:top w:val="nil"/>
            </w:tcBorders>
            <w:vAlign w:val="center"/>
          </w:tcPr>
          <w:p w:rsidR="00F30AFE" w:rsidRDefault="00F30AFE">
            <w:pPr>
              <w:pStyle w:val="ConsPlusNormal"/>
              <w:jc w:val="center"/>
            </w:pPr>
            <w:proofErr w:type="gramStart"/>
            <w:r>
              <w:t>(5 303 05 730,</w:t>
            </w:r>
            <w:proofErr w:type="gramEnd"/>
          </w:p>
          <w:p w:rsidR="00F30AFE" w:rsidRDefault="00F30AFE">
            <w:pPr>
              <w:pStyle w:val="ConsPlusNormal"/>
              <w:jc w:val="center"/>
            </w:pPr>
            <w:proofErr w:type="gramStart"/>
            <w:r>
              <w:t>6 303 05 730)</w:t>
            </w:r>
            <w:proofErr w:type="gramEnd"/>
          </w:p>
        </w:tc>
      </w:tr>
      <w:tr w:rsidR="00F30AFE">
        <w:tc>
          <w:tcPr>
            <w:tcW w:w="515" w:type="dxa"/>
            <w:vMerge w:val="restart"/>
          </w:tcPr>
          <w:p w:rsidR="00F30AFE" w:rsidRDefault="00F30AFE">
            <w:pPr>
              <w:pStyle w:val="ConsPlusNormal"/>
              <w:jc w:val="center"/>
            </w:pPr>
            <w:r>
              <w:lastRenderedPageBreak/>
              <w:t>6</w:t>
            </w:r>
          </w:p>
        </w:tc>
        <w:tc>
          <w:tcPr>
            <w:tcW w:w="3539" w:type="dxa"/>
            <w:vMerge w:val="restart"/>
            <w:vAlign w:val="center"/>
          </w:tcPr>
          <w:p w:rsidR="00F30AFE" w:rsidRDefault="00F30AFE">
            <w:pPr>
              <w:pStyle w:val="ConsPlusNormal"/>
              <w:jc w:val="both"/>
            </w:pPr>
            <w:r>
              <w:t>Начисление задолженности по возврату в доход бюджета остатков неиспользованных субсидий в случае выявления нарушений порядка использования (их нецелевого использования)</w:t>
            </w:r>
          </w:p>
        </w:tc>
        <w:tc>
          <w:tcPr>
            <w:tcW w:w="2740" w:type="dxa"/>
            <w:tcBorders>
              <w:bottom w:val="nil"/>
            </w:tcBorders>
            <w:vAlign w:val="center"/>
          </w:tcPr>
          <w:p w:rsidR="00F30AFE" w:rsidRDefault="00F30AFE">
            <w:pPr>
              <w:pStyle w:val="ConsPlusNormal"/>
              <w:jc w:val="center"/>
            </w:pPr>
            <w:r>
              <w:t>00 00 0000000000 180</w:t>
            </w:r>
          </w:p>
          <w:p w:rsidR="00F30AFE" w:rsidRDefault="00F30AFE">
            <w:pPr>
              <w:pStyle w:val="ConsPlusNormal"/>
              <w:jc w:val="center"/>
            </w:pPr>
            <w:r>
              <w:t xml:space="preserve">0 401 10 180 </w:t>
            </w:r>
            <w:hyperlink w:anchor="P130" w:history="1">
              <w:r>
                <w:rPr>
                  <w:color w:val="0000FF"/>
                </w:rPr>
                <w:t>&lt;1&gt;</w:t>
              </w:r>
            </w:hyperlink>
          </w:p>
        </w:tc>
        <w:tc>
          <w:tcPr>
            <w:tcW w:w="2707" w:type="dxa"/>
            <w:tcBorders>
              <w:bottom w:val="nil"/>
            </w:tcBorders>
            <w:vAlign w:val="center"/>
          </w:tcPr>
          <w:p w:rsidR="00F30AFE" w:rsidRDefault="00F30AFE">
            <w:pPr>
              <w:pStyle w:val="ConsPlusNormal"/>
              <w:jc w:val="center"/>
            </w:pPr>
            <w:r>
              <w:t>00 00 0000000000 180</w:t>
            </w:r>
          </w:p>
          <w:p w:rsidR="00F30AFE" w:rsidRDefault="00F30AFE">
            <w:pPr>
              <w:pStyle w:val="ConsPlusNormal"/>
              <w:jc w:val="center"/>
            </w:pPr>
            <w:r>
              <w:t>0 303 05 000</w:t>
            </w:r>
          </w:p>
          <w:p w:rsidR="00F30AFE" w:rsidRDefault="00F30AFE">
            <w:pPr>
              <w:pStyle w:val="ConsPlusNormal"/>
              <w:jc w:val="center"/>
            </w:pPr>
            <w:r>
              <w:t>(5 303 05 000, 6 303 05 000)</w:t>
            </w:r>
          </w:p>
        </w:tc>
      </w:tr>
      <w:tr w:rsidR="00F30AFE">
        <w:tc>
          <w:tcPr>
            <w:tcW w:w="515" w:type="dxa"/>
            <w:vMerge/>
          </w:tcPr>
          <w:p w:rsidR="00F30AFE" w:rsidRDefault="00F30AFE"/>
        </w:tc>
        <w:tc>
          <w:tcPr>
            <w:tcW w:w="3539" w:type="dxa"/>
            <w:vMerge/>
          </w:tcPr>
          <w:p w:rsidR="00F30AFE" w:rsidRDefault="00F30AFE"/>
        </w:tc>
        <w:tc>
          <w:tcPr>
            <w:tcW w:w="2740" w:type="dxa"/>
            <w:tcBorders>
              <w:top w:val="nil"/>
            </w:tcBorders>
            <w:vAlign w:val="center"/>
          </w:tcPr>
          <w:p w:rsidR="00F30AFE" w:rsidRDefault="00F30AFE">
            <w:pPr>
              <w:pStyle w:val="ConsPlusNormal"/>
              <w:jc w:val="center"/>
            </w:pPr>
            <w:proofErr w:type="gramStart"/>
            <w:r>
              <w:t xml:space="preserve">(5 401 10 180 </w:t>
            </w:r>
            <w:hyperlink w:anchor="P130" w:history="1">
              <w:r>
                <w:rPr>
                  <w:color w:val="0000FF"/>
                </w:rPr>
                <w:t>&lt;1&gt;</w:t>
              </w:r>
            </w:hyperlink>
            <w:r>
              <w:t>,</w:t>
            </w:r>
            <w:proofErr w:type="gramEnd"/>
          </w:p>
          <w:p w:rsidR="00F30AFE" w:rsidRDefault="00F30AFE">
            <w:pPr>
              <w:pStyle w:val="ConsPlusNormal"/>
              <w:jc w:val="center"/>
            </w:pPr>
            <w:proofErr w:type="gramStart"/>
            <w:r>
              <w:t xml:space="preserve">6 401 10 180 </w:t>
            </w:r>
            <w:hyperlink w:anchor="P130" w:history="1">
              <w:r>
                <w:rPr>
                  <w:color w:val="0000FF"/>
                </w:rPr>
                <w:t>&lt;1&gt;</w:t>
              </w:r>
            </w:hyperlink>
            <w:r>
              <w:t>)</w:t>
            </w:r>
            <w:proofErr w:type="gramEnd"/>
          </w:p>
        </w:tc>
        <w:tc>
          <w:tcPr>
            <w:tcW w:w="2707" w:type="dxa"/>
            <w:tcBorders>
              <w:top w:val="nil"/>
            </w:tcBorders>
            <w:vAlign w:val="center"/>
          </w:tcPr>
          <w:p w:rsidR="00F30AFE" w:rsidRDefault="00F30AFE">
            <w:pPr>
              <w:pStyle w:val="ConsPlusNormal"/>
              <w:jc w:val="center"/>
            </w:pPr>
            <w:proofErr w:type="gramStart"/>
            <w:r>
              <w:t>(5 303 05 730,</w:t>
            </w:r>
            <w:proofErr w:type="gramEnd"/>
          </w:p>
          <w:p w:rsidR="00F30AFE" w:rsidRDefault="00F30AFE">
            <w:pPr>
              <w:pStyle w:val="ConsPlusNormal"/>
              <w:jc w:val="center"/>
            </w:pPr>
            <w:proofErr w:type="gramStart"/>
            <w:r>
              <w:t>6 303 05 730)</w:t>
            </w:r>
            <w:proofErr w:type="gramEnd"/>
          </w:p>
        </w:tc>
      </w:tr>
      <w:tr w:rsidR="00F30AFE">
        <w:tc>
          <w:tcPr>
            <w:tcW w:w="515" w:type="dxa"/>
            <w:vMerge w:val="restart"/>
          </w:tcPr>
          <w:p w:rsidR="00F30AFE" w:rsidRDefault="00F30AFE">
            <w:pPr>
              <w:pStyle w:val="ConsPlusNormal"/>
              <w:jc w:val="center"/>
            </w:pPr>
            <w:r>
              <w:t>7</w:t>
            </w:r>
          </w:p>
        </w:tc>
        <w:tc>
          <w:tcPr>
            <w:tcW w:w="3539" w:type="dxa"/>
            <w:vMerge w:val="restart"/>
            <w:vAlign w:val="center"/>
          </w:tcPr>
          <w:p w:rsidR="00F30AFE" w:rsidRDefault="00F30AFE">
            <w:pPr>
              <w:pStyle w:val="ConsPlusNormal"/>
              <w:jc w:val="both"/>
            </w:pPr>
            <w:r>
              <w:t>Перечисление (возврат) остатков в доход бюджета</w:t>
            </w:r>
          </w:p>
        </w:tc>
        <w:tc>
          <w:tcPr>
            <w:tcW w:w="2740" w:type="dxa"/>
            <w:tcBorders>
              <w:bottom w:val="nil"/>
            </w:tcBorders>
            <w:vAlign w:val="center"/>
          </w:tcPr>
          <w:p w:rsidR="00F30AFE" w:rsidRDefault="00F30AFE">
            <w:pPr>
              <w:pStyle w:val="ConsPlusNormal"/>
              <w:jc w:val="center"/>
            </w:pPr>
            <w:r>
              <w:t>00 00 0000000000 130</w:t>
            </w:r>
          </w:p>
          <w:p w:rsidR="00F30AFE" w:rsidRDefault="00F30AFE">
            <w:pPr>
              <w:pStyle w:val="ConsPlusNormal"/>
              <w:jc w:val="center"/>
            </w:pPr>
            <w:r>
              <w:t>4 303 05 000</w:t>
            </w:r>
          </w:p>
          <w:p w:rsidR="00F30AFE" w:rsidRDefault="00F30AFE">
            <w:pPr>
              <w:pStyle w:val="ConsPlusNormal"/>
              <w:jc w:val="center"/>
            </w:pPr>
            <w:r>
              <w:t>00 00 0000000000 180</w:t>
            </w:r>
          </w:p>
          <w:p w:rsidR="00F30AFE" w:rsidRDefault="00F30AFE">
            <w:pPr>
              <w:pStyle w:val="ConsPlusNormal"/>
              <w:jc w:val="center"/>
            </w:pPr>
            <w:r>
              <w:t>0 303 05 000</w:t>
            </w:r>
          </w:p>
          <w:p w:rsidR="00F30AFE" w:rsidRDefault="00F30AFE">
            <w:pPr>
              <w:pStyle w:val="ConsPlusNormal"/>
              <w:jc w:val="center"/>
            </w:pPr>
            <w:r>
              <w:t>(5 303 05 000 6 303 05 000)</w:t>
            </w:r>
          </w:p>
        </w:tc>
        <w:tc>
          <w:tcPr>
            <w:tcW w:w="2707" w:type="dxa"/>
            <w:vMerge w:val="restart"/>
            <w:vAlign w:val="center"/>
          </w:tcPr>
          <w:p w:rsidR="00F30AFE" w:rsidRDefault="00F30AFE">
            <w:pPr>
              <w:pStyle w:val="ConsPlusNormal"/>
              <w:jc w:val="center"/>
            </w:pPr>
            <w:r>
              <w:t>00 00 0000000000 610</w:t>
            </w:r>
          </w:p>
          <w:p w:rsidR="00F30AFE" w:rsidRDefault="00F30AFE">
            <w:pPr>
              <w:pStyle w:val="ConsPlusNormal"/>
              <w:jc w:val="center"/>
            </w:pPr>
            <w:r>
              <w:t>0 201 11 000</w:t>
            </w:r>
          </w:p>
          <w:p w:rsidR="00F30AFE" w:rsidRDefault="00F30AFE">
            <w:pPr>
              <w:pStyle w:val="ConsPlusNormal"/>
              <w:jc w:val="center"/>
            </w:pPr>
            <w:r>
              <w:t>(0 201 11 610)</w:t>
            </w:r>
          </w:p>
        </w:tc>
      </w:tr>
      <w:tr w:rsidR="00F30AFE">
        <w:tc>
          <w:tcPr>
            <w:tcW w:w="515" w:type="dxa"/>
            <w:vMerge/>
          </w:tcPr>
          <w:p w:rsidR="00F30AFE" w:rsidRDefault="00F30AFE"/>
        </w:tc>
        <w:tc>
          <w:tcPr>
            <w:tcW w:w="3539" w:type="dxa"/>
            <w:vMerge/>
          </w:tcPr>
          <w:p w:rsidR="00F30AFE" w:rsidRDefault="00F30AFE"/>
        </w:tc>
        <w:tc>
          <w:tcPr>
            <w:tcW w:w="2740" w:type="dxa"/>
            <w:tcBorders>
              <w:top w:val="nil"/>
            </w:tcBorders>
            <w:vAlign w:val="center"/>
          </w:tcPr>
          <w:p w:rsidR="00F30AFE" w:rsidRDefault="00F30AFE">
            <w:pPr>
              <w:pStyle w:val="ConsPlusNormal"/>
              <w:jc w:val="center"/>
            </w:pPr>
            <w:proofErr w:type="gramStart"/>
            <w:r>
              <w:t>(4 303 05 830</w:t>
            </w:r>
            <w:proofErr w:type="gramEnd"/>
          </w:p>
          <w:p w:rsidR="00F30AFE" w:rsidRDefault="00F30AFE">
            <w:pPr>
              <w:pStyle w:val="ConsPlusNormal"/>
              <w:jc w:val="center"/>
            </w:pPr>
            <w:r>
              <w:t>5 303 05 830,</w:t>
            </w:r>
          </w:p>
          <w:p w:rsidR="00F30AFE" w:rsidRDefault="00F30AFE">
            <w:pPr>
              <w:pStyle w:val="ConsPlusNormal"/>
              <w:jc w:val="center"/>
            </w:pPr>
            <w:proofErr w:type="gramStart"/>
            <w:r>
              <w:t>6 303 05 830)</w:t>
            </w:r>
            <w:proofErr w:type="gramEnd"/>
          </w:p>
        </w:tc>
        <w:tc>
          <w:tcPr>
            <w:tcW w:w="2707" w:type="dxa"/>
            <w:vMerge/>
          </w:tcPr>
          <w:p w:rsidR="00F30AFE" w:rsidRDefault="00F30AFE"/>
        </w:tc>
      </w:tr>
      <w:tr w:rsidR="00F30AFE">
        <w:tc>
          <w:tcPr>
            <w:tcW w:w="515" w:type="dxa"/>
            <w:vMerge w:val="restart"/>
          </w:tcPr>
          <w:p w:rsidR="00F30AFE" w:rsidRDefault="00F30AFE">
            <w:pPr>
              <w:pStyle w:val="ConsPlusNormal"/>
              <w:jc w:val="center"/>
            </w:pPr>
            <w:r>
              <w:t>8</w:t>
            </w:r>
          </w:p>
        </w:tc>
        <w:tc>
          <w:tcPr>
            <w:tcW w:w="3539" w:type="dxa"/>
            <w:vMerge w:val="restart"/>
          </w:tcPr>
          <w:p w:rsidR="00F30AFE" w:rsidRDefault="00F30AFE">
            <w:pPr>
              <w:pStyle w:val="ConsPlusNormal"/>
              <w:jc w:val="both"/>
            </w:pPr>
            <w:r>
              <w:t>Уменьшение задолженности перед бюджетом при принятии решения о наличии потребности в целевых средствах (в случае, если остаток средств не перечислялся в бюджет)</w:t>
            </w:r>
          </w:p>
        </w:tc>
        <w:tc>
          <w:tcPr>
            <w:tcW w:w="2740" w:type="dxa"/>
            <w:tcBorders>
              <w:bottom w:val="nil"/>
            </w:tcBorders>
            <w:vAlign w:val="center"/>
          </w:tcPr>
          <w:p w:rsidR="00F30AFE" w:rsidRDefault="00F30AFE">
            <w:pPr>
              <w:pStyle w:val="ConsPlusNormal"/>
              <w:jc w:val="center"/>
            </w:pPr>
            <w:r>
              <w:t>00 00 0000000000 180</w:t>
            </w:r>
          </w:p>
          <w:p w:rsidR="00F30AFE" w:rsidRDefault="00F30AFE">
            <w:pPr>
              <w:pStyle w:val="ConsPlusNormal"/>
              <w:jc w:val="center"/>
            </w:pPr>
            <w:r>
              <w:t>0 303 05 000</w:t>
            </w:r>
          </w:p>
          <w:p w:rsidR="00F30AFE" w:rsidRDefault="00F30AFE">
            <w:pPr>
              <w:pStyle w:val="ConsPlusNormal"/>
              <w:jc w:val="center"/>
            </w:pPr>
            <w:r>
              <w:t>(5 303 05 000, 6 303 05 000)</w:t>
            </w:r>
          </w:p>
        </w:tc>
        <w:tc>
          <w:tcPr>
            <w:tcW w:w="2707" w:type="dxa"/>
            <w:tcBorders>
              <w:bottom w:val="nil"/>
            </w:tcBorders>
            <w:vAlign w:val="center"/>
          </w:tcPr>
          <w:p w:rsidR="00F30AFE" w:rsidRDefault="00F30AFE">
            <w:pPr>
              <w:pStyle w:val="ConsPlusNormal"/>
              <w:jc w:val="center"/>
            </w:pPr>
            <w:r>
              <w:t>00 00 0000000000 180</w:t>
            </w:r>
          </w:p>
          <w:p w:rsidR="00F30AFE" w:rsidRDefault="00F30AFE">
            <w:pPr>
              <w:pStyle w:val="ConsPlusNormal"/>
              <w:jc w:val="center"/>
            </w:pPr>
            <w:r>
              <w:t>0 205 81 000</w:t>
            </w:r>
          </w:p>
          <w:p w:rsidR="00F30AFE" w:rsidRDefault="00F30AFE">
            <w:pPr>
              <w:pStyle w:val="ConsPlusNormal"/>
              <w:jc w:val="center"/>
            </w:pPr>
            <w:r>
              <w:t>(5 205 81 000, 6 205 81 000)</w:t>
            </w:r>
          </w:p>
        </w:tc>
      </w:tr>
      <w:tr w:rsidR="00F30AFE">
        <w:tc>
          <w:tcPr>
            <w:tcW w:w="515" w:type="dxa"/>
            <w:vMerge/>
          </w:tcPr>
          <w:p w:rsidR="00F30AFE" w:rsidRDefault="00F30AFE"/>
        </w:tc>
        <w:tc>
          <w:tcPr>
            <w:tcW w:w="3539" w:type="dxa"/>
            <w:vMerge/>
          </w:tcPr>
          <w:p w:rsidR="00F30AFE" w:rsidRDefault="00F30AFE"/>
        </w:tc>
        <w:tc>
          <w:tcPr>
            <w:tcW w:w="2740" w:type="dxa"/>
            <w:tcBorders>
              <w:top w:val="nil"/>
            </w:tcBorders>
            <w:vAlign w:val="center"/>
          </w:tcPr>
          <w:p w:rsidR="00F30AFE" w:rsidRDefault="00F30AFE">
            <w:pPr>
              <w:pStyle w:val="ConsPlusNormal"/>
              <w:jc w:val="center"/>
            </w:pPr>
            <w:proofErr w:type="gramStart"/>
            <w:r>
              <w:t>(5 303 05 830,</w:t>
            </w:r>
            <w:proofErr w:type="gramEnd"/>
          </w:p>
          <w:p w:rsidR="00F30AFE" w:rsidRDefault="00F30AFE">
            <w:pPr>
              <w:pStyle w:val="ConsPlusNormal"/>
              <w:jc w:val="center"/>
            </w:pPr>
            <w:proofErr w:type="gramStart"/>
            <w:r>
              <w:t>6 303 05 830)</w:t>
            </w:r>
            <w:proofErr w:type="gramEnd"/>
          </w:p>
        </w:tc>
        <w:tc>
          <w:tcPr>
            <w:tcW w:w="2707" w:type="dxa"/>
            <w:tcBorders>
              <w:top w:val="nil"/>
            </w:tcBorders>
            <w:vAlign w:val="center"/>
          </w:tcPr>
          <w:p w:rsidR="00F30AFE" w:rsidRDefault="00F30AFE">
            <w:pPr>
              <w:pStyle w:val="ConsPlusNormal"/>
              <w:jc w:val="center"/>
            </w:pPr>
            <w:proofErr w:type="gramStart"/>
            <w:r>
              <w:t>(5 205 81 660,</w:t>
            </w:r>
            <w:proofErr w:type="gramEnd"/>
          </w:p>
          <w:p w:rsidR="00F30AFE" w:rsidRDefault="00F30AFE">
            <w:pPr>
              <w:pStyle w:val="ConsPlusNormal"/>
              <w:jc w:val="center"/>
            </w:pPr>
            <w:proofErr w:type="gramStart"/>
            <w:r>
              <w:t>6 205 81 660)</w:t>
            </w:r>
            <w:proofErr w:type="gramEnd"/>
          </w:p>
        </w:tc>
      </w:tr>
      <w:tr w:rsidR="00F30AFE">
        <w:tc>
          <w:tcPr>
            <w:tcW w:w="515" w:type="dxa"/>
          </w:tcPr>
          <w:p w:rsidR="00F30AFE" w:rsidRDefault="00F30AFE">
            <w:pPr>
              <w:pStyle w:val="ConsPlusNormal"/>
              <w:jc w:val="center"/>
            </w:pPr>
            <w:r>
              <w:t>9</w:t>
            </w:r>
          </w:p>
        </w:tc>
        <w:tc>
          <w:tcPr>
            <w:tcW w:w="3539" w:type="dxa"/>
            <w:vAlign w:val="center"/>
          </w:tcPr>
          <w:p w:rsidR="00F30AFE" w:rsidRDefault="00F30AFE">
            <w:pPr>
              <w:pStyle w:val="ConsPlusNormal"/>
              <w:jc w:val="both"/>
            </w:pPr>
            <w:r>
              <w:t xml:space="preserve">Поступление средств </w:t>
            </w:r>
            <w:proofErr w:type="gramStart"/>
            <w:r>
              <w:t>от возврата из бюджета целевой субсидии при принятии решения о наличии потребности на соответствующие цели</w:t>
            </w:r>
            <w:proofErr w:type="gramEnd"/>
          </w:p>
        </w:tc>
        <w:tc>
          <w:tcPr>
            <w:tcW w:w="2740" w:type="dxa"/>
            <w:vAlign w:val="center"/>
          </w:tcPr>
          <w:p w:rsidR="00F30AFE" w:rsidRDefault="00F30AFE">
            <w:pPr>
              <w:pStyle w:val="ConsPlusNormal"/>
              <w:jc w:val="center"/>
            </w:pPr>
            <w:r>
              <w:t>00 00 0000000000 510</w:t>
            </w:r>
          </w:p>
          <w:p w:rsidR="00F30AFE" w:rsidRDefault="00F30AFE">
            <w:pPr>
              <w:pStyle w:val="ConsPlusNormal"/>
              <w:jc w:val="center"/>
            </w:pPr>
            <w:r>
              <w:t>0 201 11 000</w:t>
            </w:r>
          </w:p>
          <w:p w:rsidR="00F30AFE" w:rsidRDefault="00F30AFE">
            <w:pPr>
              <w:pStyle w:val="ConsPlusNormal"/>
              <w:jc w:val="center"/>
            </w:pPr>
            <w:r>
              <w:t>(0 201 11 510)</w:t>
            </w:r>
          </w:p>
        </w:tc>
        <w:tc>
          <w:tcPr>
            <w:tcW w:w="2707" w:type="dxa"/>
            <w:vAlign w:val="center"/>
          </w:tcPr>
          <w:p w:rsidR="00F30AFE" w:rsidRDefault="00F30AFE">
            <w:pPr>
              <w:pStyle w:val="ConsPlusNormal"/>
              <w:jc w:val="center"/>
            </w:pPr>
            <w:r>
              <w:t>00 00 0000000000 180</w:t>
            </w:r>
          </w:p>
          <w:p w:rsidR="00F30AFE" w:rsidRDefault="00F30AFE">
            <w:pPr>
              <w:pStyle w:val="ConsPlusNormal"/>
              <w:jc w:val="center"/>
            </w:pPr>
            <w:r>
              <w:t>0 205 81 000</w:t>
            </w:r>
          </w:p>
          <w:p w:rsidR="00F30AFE" w:rsidRDefault="00F30AFE">
            <w:pPr>
              <w:pStyle w:val="ConsPlusNormal"/>
              <w:jc w:val="center"/>
            </w:pPr>
            <w:proofErr w:type="gramStart"/>
            <w:r>
              <w:t>(5 205 81 660,</w:t>
            </w:r>
            <w:proofErr w:type="gramEnd"/>
          </w:p>
          <w:p w:rsidR="00F30AFE" w:rsidRDefault="00F30AFE">
            <w:pPr>
              <w:pStyle w:val="ConsPlusNormal"/>
              <w:jc w:val="center"/>
            </w:pPr>
            <w:proofErr w:type="gramStart"/>
            <w:r>
              <w:t>6 205 81 660)</w:t>
            </w:r>
            <w:proofErr w:type="gramEnd"/>
          </w:p>
        </w:tc>
      </w:tr>
    </w:tbl>
    <w:p w:rsidR="00F30AFE" w:rsidRDefault="00F30AFE">
      <w:pPr>
        <w:pStyle w:val="ConsPlusNormal"/>
        <w:jc w:val="both"/>
      </w:pPr>
    </w:p>
    <w:p w:rsidR="00F30AFE" w:rsidRDefault="00F30AFE">
      <w:pPr>
        <w:pStyle w:val="ConsPlusNormal"/>
        <w:ind w:firstLine="540"/>
        <w:jc w:val="both"/>
      </w:pPr>
      <w:r>
        <w:t>--------------------------------</w:t>
      </w:r>
    </w:p>
    <w:p w:rsidR="00F30AFE" w:rsidRDefault="00F30AFE">
      <w:pPr>
        <w:pStyle w:val="ConsPlusNormal"/>
        <w:ind w:firstLine="540"/>
        <w:jc w:val="both"/>
      </w:pPr>
      <w:bookmarkStart w:id="0" w:name="P130"/>
      <w:bookmarkEnd w:id="0"/>
      <w:r>
        <w:t xml:space="preserve">&lt;1&gt; </w:t>
      </w:r>
      <w:hyperlink r:id="rId19" w:history="1">
        <w:r>
          <w:rPr>
            <w:color w:val="0000FF"/>
          </w:rPr>
          <w:t>Указаниями</w:t>
        </w:r>
      </w:hyperlink>
      <w:r>
        <w:t xml:space="preserve"> N 65н предусмотрено, что государственные (муниципальные) учреждения вправе при формировании учетной политики предусмотреть на третьем разряде кода КОСГУ дополнительную детализацию операций по статьям 130 "Доходы от оказания платных услуг (работ)", 180 "Прочие доходы" в целях обеспечения полноты отражения в бухгалтерском (бюджетном) учете информации об осуществляемых операциях.</w:t>
      </w:r>
    </w:p>
    <w:p w:rsidR="00F30AFE" w:rsidRDefault="00F30AFE">
      <w:pPr>
        <w:pStyle w:val="ConsPlusNormal"/>
        <w:jc w:val="both"/>
      </w:pPr>
    </w:p>
    <w:p w:rsidR="00F30AFE" w:rsidRDefault="00F30AFE">
      <w:pPr>
        <w:pStyle w:val="ConsPlusNormal"/>
        <w:jc w:val="right"/>
      </w:pPr>
      <w:r>
        <w:lastRenderedPageBreak/>
        <w:t>А.М.ЛАВРОВ</w:t>
      </w:r>
    </w:p>
    <w:p w:rsidR="00F30AFE" w:rsidRDefault="00F30AFE">
      <w:pPr>
        <w:pStyle w:val="ConsPlusNormal"/>
        <w:jc w:val="both"/>
      </w:pPr>
    </w:p>
    <w:p w:rsidR="00F30AFE" w:rsidRDefault="00F30AFE">
      <w:pPr>
        <w:pStyle w:val="ConsPlusNormal"/>
        <w:jc w:val="both"/>
      </w:pPr>
    </w:p>
    <w:p w:rsidR="00F30AFE" w:rsidRDefault="00F30AFE">
      <w:pPr>
        <w:pStyle w:val="ConsPlusNormal"/>
        <w:pBdr>
          <w:top w:val="single" w:sz="6" w:space="0" w:color="auto"/>
        </w:pBdr>
        <w:spacing w:before="100" w:after="100"/>
        <w:jc w:val="both"/>
        <w:rPr>
          <w:sz w:val="2"/>
          <w:szCs w:val="2"/>
        </w:rPr>
      </w:pPr>
    </w:p>
    <w:p w:rsidR="00920B32" w:rsidRDefault="00920B32"/>
    <w:sectPr w:rsidR="00920B32" w:rsidSect="00090BC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F30AFE"/>
    <w:rsid w:val="00920B32"/>
    <w:rsid w:val="00F30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A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A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990B836238F832155FF3700fE2EF" TargetMode="External"/><Relationship Id="rId13" Type="http://schemas.openxmlformats.org/officeDocument/2006/relationships/hyperlink" Target="consultantplus://offline/ref=8D4D20934C3CA783356AA320EC15BF0B6C1992BF392E8F832155FF3700EE284C22E590DA2B326140fC28F" TargetMode="External"/><Relationship Id="rId18" Type="http://schemas.openxmlformats.org/officeDocument/2006/relationships/hyperlink" Target="consultantplus://offline/ref=8D4D20934C3CA783356AA320EC15BF0B6C1993BE3E2F8F832155FF3700EE284C22E590DA2B32664DfC2E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D4D20934C3CA783356AA320EC15BF0B6C1997B837268F832155FF3700EE284C22E590DA2B326146fC22F" TargetMode="External"/><Relationship Id="rId12" Type="http://schemas.openxmlformats.org/officeDocument/2006/relationships/hyperlink" Target="consultantplus://offline/ref=8D4D20934C3CA783356AA320EC15BF0B6C1992BF392E8F832155FF3700fE2EF" TargetMode="External"/><Relationship Id="rId17" Type="http://schemas.openxmlformats.org/officeDocument/2006/relationships/hyperlink" Target="consultantplus://offline/ref=8D4D20934C3CA783356AA320EC15BF0B6C1992B938268F832155FF3700EE284C22E590DA2B336345fC2BF" TargetMode="External"/><Relationship Id="rId2" Type="http://schemas.openxmlformats.org/officeDocument/2006/relationships/settings" Target="settings.xml"/><Relationship Id="rId16" Type="http://schemas.openxmlformats.org/officeDocument/2006/relationships/hyperlink" Target="consultantplus://offline/ref=8D4D20934C3CA783356AA320EC15BF0B6C1492BB3E268F832155FF3700fE2E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4D20934C3CA783356AA320EC15BF0B6C1997B438228F832155FF3700EE284C22E590DA2B336240fC2DF" TargetMode="External"/><Relationship Id="rId11" Type="http://schemas.openxmlformats.org/officeDocument/2006/relationships/hyperlink" Target="consultantplus://offline/ref=8D4D20934C3CA783356AA320EC15BF0B6C1993BA3A208F832155FF3700EE284C22E590DA223A674CfC29F" TargetMode="External"/><Relationship Id="rId5" Type="http://schemas.openxmlformats.org/officeDocument/2006/relationships/hyperlink" Target="consultantplus://offline/ref=8D4D20934C3CA783356AA320EC15BF0B6C1997B837268F832155FF3700EE284C22E590DA2B326147fC28F" TargetMode="External"/><Relationship Id="rId15" Type="http://schemas.openxmlformats.org/officeDocument/2006/relationships/hyperlink" Target="consultantplus://offline/ref=8D4D20934C3CA783356AA320EC15BF0B6C1994BA3E208F832155FF3700EE284C22E590DA2B306040fC22F" TargetMode="External"/><Relationship Id="rId10" Type="http://schemas.openxmlformats.org/officeDocument/2006/relationships/hyperlink" Target="consultantplus://offline/ref=8D4D20934C3CA783356AA320EC15BF0B6C1997B837268F832155FF3700EE284C22E590DA2B326146fC22F" TargetMode="External"/><Relationship Id="rId19" Type="http://schemas.openxmlformats.org/officeDocument/2006/relationships/hyperlink" Target="consultantplus://offline/ref=8D4D20934C3CA783356AA320EC15BF0B6C1993BA3A208F832155FF3700EE284C22E590DA2B326144fC2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4D20934C3CA783356AA320EC15BF0B6C1990B836238F832155FF3700EE284C22E590DA2B326041fC2BF" TargetMode="External"/><Relationship Id="rId14" Type="http://schemas.openxmlformats.org/officeDocument/2006/relationships/hyperlink" Target="consultantplus://offline/ref=8D4D20934C3CA783356AA320EC15BF0B6C1993B93B2E8F832155FF3700fE2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2132</Words>
  <Characters>12153</Characters>
  <Application>Microsoft Office Word</Application>
  <DocSecurity>0</DocSecurity>
  <Lines>101</Lines>
  <Paragraphs>28</Paragraphs>
  <ScaleCrop>false</ScaleCrop>
  <Company>  </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КФ-Загыка Е.Р.</dc:creator>
  <cp:lastModifiedBy>  </cp:lastModifiedBy>
  <cp:revision>1</cp:revision>
  <dcterms:created xsi:type="dcterms:W3CDTF">2016-04-28T05:54:00Z</dcterms:created>
  <dcterms:modified xsi:type="dcterms:W3CDTF">2016-04-28T05:55:00Z</dcterms:modified>
</cp:coreProperties>
</file>