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817" w:rsidRDefault="00BE2872" w:rsidP="00DA564E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35817" w:rsidRDefault="00635817" w:rsidP="00DA564E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635817" w:rsidRDefault="00635817" w:rsidP="00DA564E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3172F6" w:rsidRDefault="003172F6" w:rsidP="0017626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E2872" w:rsidRPr="00BE2872" w:rsidRDefault="00CB548F" w:rsidP="0017626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71223">
        <w:rPr>
          <w:rFonts w:ascii="Times New Roman" w:hAnsi="Times New Roman" w:cs="Times New Roman"/>
          <w:sz w:val="24"/>
          <w:szCs w:val="24"/>
        </w:rPr>
        <w:t>редседател</w:t>
      </w:r>
      <w:r w:rsidR="00CF2A33">
        <w:rPr>
          <w:rFonts w:ascii="Times New Roman" w:hAnsi="Times New Roman" w:cs="Times New Roman"/>
          <w:sz w:val="24"/>
          <w:szCs w:val="24"/>
        </w:rPr>
        <w:t>ю</w:t>
      </w:r>
      <w:r w:rsidR="00270C02">
        <w:rPr>
          <w:rFonts w:ascii="Times New Roman" w:hAnsi="Times New Roman" w:cs="Times New Roman"/>
          <w:sz w:val="24"/>
          <w:szCs w:val="24"/>
        </w:rPr>
        <w:t xml:space="preserve"> </w:t>
      </w:r>
      <w:r w:rsidR="00D71223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A2761A">
        <w:rPr>
          <w:rFonts w:ascii="Times New Roman" w:hAnsi="Times New Roman" w:cs="Times New Roman"/>
          <w:sz w:val="24"/>
          <w:szCs w:val="24"/>
        </w:rPr>
        <w:t>депу</w:t>
      </w:r>
      <w:r w:rsidR="00D71223">
        <w:rPr>
          <w:rFonts w:ascii="Times New Roman" w:hAnsi="Times New Roman" w:cs="Times New Roman"/>
          <w:sz w:val="24"/>
          <w:szCs w:val="24"/>
        </w:rPr>
        <w:t>татов</w:t>
      </w:r>
    </w:p>
    <w:p w:rsidR="00BE2872" w:rsidRDefault="00604CEC" w:rsidP="00BE2872">
      <w:pPr>
        <w:framePr w:w="4875" w:h="1732" w:hSpace="142" w:wrap="around" w:vAnchor="page" w:hAnchor="page" w:x="1518" w:y="725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1284605</wp:posOffset>
            </wp:positionH>
            <wp:positionV relativeFrom="paragraph">
              <wp:posOffset>91440</wp:posOffset>
            </wp:positionV>
            <wp:extent cx="509270" cy="64008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2872" w:rsidRDefault="00BE2872" w:rsidP="00BE2872">
      <w:pPr>
        <w:framePr w:w="4875" w:h="1732" w:hSpace="142" w:wrap="around" w:vAnchor="page" w:hAnchor="page" w:x="1518" w:y="725"/>
        <w:jc w:val="center"/>
      </w:pPr>
    </w:p>
    <w:p w:rsidR="00BE2872" w:rsidRDefault="00BE2872" w:rsidP="00BE2872">
      <w:pPr>
        <w:framePr w:w="4875" w:h="1732" w:hSpace="142" w:wrap="around" w:vAnchor="page" w:hAnchor="page" w:x="1518" w:y="725"/>
        <w:spacing w:line="288" w:lineRule="auto"/>
        <w:jc w:val="center"/>
        <w:rPr>
          <w:b/>
          <w:sz w:val="32"/>
        </w:rPr>
      </w:pPr>
    </w:p>
    <w:p w:rsidR="00BE2872" w:rsidRDefault="00BE2872" w:rsidP="00BE2872">
      <w:pPr>
        <w:framePr w:w="4875" w:h="1732" w:hSpace="142" w:wrap="around" w:vAnchor="page" w:hAnchor="page" w:x="1518" w:y="725"/>
        <w:spacing w:line="288" w:lineRule="auto"/>
        <w:jc w:val="center"/>
        <w:rPr>
          <w:b/>
          <w:sz w:val="32"/>
        </w:rPr>
      </w:pPr>
    </w:p>
    <w:p w:rsidR="006D6D1A" w:rsidRPr="0021331E" w:rsidRDefault="006D6D1A" w:rsidP="006D6D1A">
      <w:pPr>
        <w:framePr w:w="4875" w:h="1732" w:hSpace="142" w:wrap="around" w:vAnchor="page" w:hAnchor="page" w:x="1518" w:y="725"/>
        <w:spacing w:line="288" w:lineRule="auto"/>
        <w:jc w:val="center"/>
        <w:rPr>
          <w:b/>
          <w:sz w:val="20"/>
        </w:rPr>
      </w:pPr>
      <w:r>
        <w:rPr>
          <w:b/>
          <w:sz w:val="20"/>
        </w:rPr>
        <w:t>КОНТРОЛЬНО – СЧЕТНАЯ ПАЛАТА</w:t>
      </w:r>
    </w:p>
    <w:p w:rsidR="00BE2872" w:rsidRPr="0021331E" w:rsidRDefault="00BE2872" w:rsidP="00BE2872">
      <w:pPr>
        <w:framePr w:w="4875" w:h="1732" w:hSpace="142" w:wrap="around" w:vAnchor="page" w:hAnchor="page" w:x="1518" w:y="725"/>
        <w:jc w:val="center"/>
        <w:rPr>
          <w:b/>
          <w:sz w:val="20"/>
        </w:rPr>
      </w:pPr>
      <w:r w:rsidRPr="0021331E">
        <w:rPr>
          <w:b/>
          <w:smallCaps/>
          <w:sz w:val="20"/>
        </w:rPr>
        <w:t>МУНИЦИПАЛЬНОГО ОБРАЗОВАНИЯ</w:t>
      </w:r>
    </w:p>
    <w:p w:rsidR="00BE2872" w:rsidRPr="0021331E" w:rsidRDefault="00BE2872" w:rsidP="00BE2872">
      <w:pPr>
        <w:framePr w:w="4875" w:h="1732" w:hSpace="142" w:wrap="around" w:vAnchor="page" w:hAnchor="page" w:x="1518" w:y="725"/>
        <w:spacing w:line="288" w:lineRule="auto"/>
        <w:jc w:val="center"/>
        <w:rPr>
          <w:b/>
          <w:sz w:val="20"/>
        </w:rPr>
      </w:pPr>
      <w:r w:rsidRPr="0021331E">
        <w:rPr>
          <w:b/>
          <w:sz w:val="20"/>
        </w:rPr>
        <w:t>СОСНОВОБОРСКИЙ ГОРОДСКОЙ ОКРУГ</w:t>
      </w:r>
    </w:p>
    <w:p w:rsidR="00BE2872" w:rsidRDefault="00BE2872" w:rsidP="00BE2872">
      <w:pPr>
        <w:framePr w:w="4875" w:h="1732" w:hSpace="142" w:wrap="around" w:vAnchor="page" w:hAnchor="page" w:x="1518" w:y="725"/>
        <w:spacing w:line="360" w:lineRule="auto"/>
        <w:jc w:val="center"/>
        <w:rPr>
          <w:b/>
        </w:rPr>
      </w:pPr>
      <w:r w:rsidRPr="0021331E">
        <w:rPr>
          <w:b/>
          <w:sz w:val="20"/>
        </w:rPr>
        <w:t>ЛЕНИНГРАДСКОЙ ОБЛАСТИ</w:t>
      </w:r>
    </w:p>
    <w:p w:rsidR="00BE2872" w:rsidRDefault="00BE2872" w:rsidP="00BE2872">
      <w:pPr>
        <w:framePr w:w="4875" w:h="1732" w:hSpace="142" w:wrap="around" w:vAnchor="page" w:hAnchor="page" w:x="1518" w:y="725"/>
        <w:jc w:val="center"/>
        <w:rPr>
          <w:b/>
          <w:sz w:val="18"/>
        </w:rPr>
      </w:pPr>
      <w:r>
        <w:rPr>
          <w:b/>
          <w:sz w:val="18"/>
        </w:rPr>
        <w:t xml:space="preserve">188540, Россия, Ленинградская область, </w:t>
      </w:r>
    </w:p>
    <w:p w:rsidR="00BE2872" w:rsidRDefault="00BE2872" w:rsidP="00BE2872">
      <w:pPr>
        <w:framePr w:w="4875" w:h="1732" w:hSpace="142" w:wrap="around" w:vAnchor="page" w:hAnchor="page" w:x="1518" w:y="725"/>
        <w:jc w:val="center"/>
        <w:rPr>
          <w:b/>
          <w:sz w:val="18"/>
        </w:rPr>
      </w:pPr>
      <w:r>
        <w:rPr>
          <w:b/>
          <w:sz w:val="18"/>
        </w:rPr>
        <w:t>г. Сосновый Бор, ул. Ленинградская, 46</w:t>
      </w:r>
    </w:p>
    <w:p w:rsidR="00BE2872" w:rsidRPr="00BC2B03" w:rsidRDefault="00BE2872" w:rsidP="00BE2872">
      <w:pPr>
        <w:framePr w:w="4875" w:h="1732" w:hSpace="142" w:wrap="around" w:vAnchor="page" w:hAnchor="page" w:x="1518" w:y="725"/>
        <w:jc w:val="center"/>
        <w:rPr>
          <w:b/>
          <w:sz w:val="18"/>
        </w:rPr>
      </w:pPr>
      <w:r>
        <w:rPr>
          <w:b/>
          <w:sz w:val="18"/>
        </w:rPr>
        <w:t>Тел</w:t>
      </w:r>
      <w:r w:rsidRPr="00BC2B03">
        <w:rPr>
          <w:b/>
          <w:sz w:val="18"/>
        </w:rPr>
        <w:t>/</w:t>
      </w:r>
      <w:r>
        <w:rPr>
          <w:b/>
          <w:sz w:val="18"/>
        </w:rPr>
        <w:t>факс</w:t>
      </w:r>
      <w:r w:rsidRPr="00BC2B03">
        <w:rPr>
          <w:b/>
          <w:sz w:val="18"/>
        </w:rPr>
        <w:t>: (</w:t>
      </w:r>
      <w:r w:rsidRPr="00BC2B03">
        <w:rPr>
          <w:b/>
          <w:sz w:val="16"/>
        </w:rPr>
        <w:t xml:space="preserve">81369) </w:t>
      </w:r>
      <w:r w:rsidR="009D088D">
        <w:rPr>
          <w:b/>
          <w:sz w:val="16"/>
        </w:rPr>
        <w:t>6</w:t>
      </w:r>
      <w:r w:rsidRPr="00BC2B03">
        <w:rPr>
          <w:b/>
          <w:sz w:val="16"/>
        </w:rPr>
        <w:t>-</w:t>
      </w:r>
      <w:r w:rsidR="009D088D">
        <w:rPr>
          <w:b/>
          <w:sz w:val="16"/>
        </w:rPr>
        <w:t>28</w:t>
      </w:r>
      <w:r w:rsidRPr="00BC2B03">
        <w:rPr>
          <w:b/>
          <w:sz w:val="16"/>
        </w:rPr>
        <w:t>-</w:t>
      </w:r>
      <w:r w:rsidR="009D088D">
        <w:rPr>
          <w:b/>
          <w:sz w:val="16"/>
        </w:rPr>
        <w:t>69</w:t>
      </w:r>
    </w:p>
    <w:p w:rsidR="00BE2872" w:rsidRPr="008F64B2" w:rsidRDefault="00BE2872" w:rsidP="003038C5">
      <w:pPr>
        <w:framePr w:w="4875" w:h="1732" w:hSpace="142" w:wrap="around" w:vAnchor="page" w:hAnchor="page" w:x="1518" w:y="725"/>
        <w:jc w:val="center"/>
        <w:rPr>
          <w:b/>
          <w:sz w:val="18"/>
        </w:rPr>
      </w:pPr>
      <w:r>
        <w:rPr>
          <w:b/>
          <w:sz w:val="18"/>
          <w:lang w:val="en-US"/>
        </w:rPr>
        <w:t>E</w:t>
      </w:r>
      <w:r w:rsidRPr="008F64B2">
        <w:rPr>
          <w:b/>
          <w:sz w:val="18"/>
        </w:rPr>
        <w:t>-</w:t>
      </w:r>
      <w:r>
        <w:rPr>
          <w:b/>
          <w:sz w:val="18"/>
          <w:lang w:val="en-US"/>
        </w:rPr>
        <w:t>mail</w:t>
      </w:r>
      <w:r w:rsidRPr="008F64B2">
        <w:rPr>
          <w:b/>
          <w:sz w:val="18"/>
        </w:rPr>
        <w:t xml:space="preserve">: </w:t>
      </w:r>
      <w:r w:rsidR="00322A0B">
        <w:rPr>
          <w:b/>
          <w:sz w:val="18"/>
          <w:lang w:val="en-US"/>
        </w:rPr>
        <w:t>ksp</w:t>
      </w:r>
      <w:r w:rsidR="00322A0B" w:rsidRPr="008F64B2">
        <w:rPr>
          <w:b/>
          <w:sz w:val="18"/>
        </w:rPr>
        <w:t>@</w:t>
      </w:r>
      <w:r w:rsidR="00322A0B">
        <w:rPr>
          <w:b/>
          <w:sz w:val="18"/>
          <w:lang w:val="en-US"/>
        </w:rPr>
        <w:t>s</w:t>
      </w:r>
      <w:r w:rsidR="00322A0B" w:rsidRPr="00F8527B">
        <w:rPr>
          <w:b/>
          <w:sz w:val="18"/>
          <w:lang w:val="en-US"/>
        </w:rPr>
        <w:t>bor</w:t>
      </w:r>
      <w:r w:rsidR="00322A0B" w:rsidRPr="008F64B2">
        <w:rPr>
          <w:b/>
          <w:sz w:val="18"/>
        </w:rPr>
        <w:t>.</w:t>
      </w:r>
      <w:r w:rsidR="00322A0B" w:rsidRPr="00F8527B">
        <w:rPr>
          <w:b/>
          <w:sz w:val="18"/>
          <w:lang w:val="en-US"/>
        </w:rPr>
        <w:t>ru</w:t>
      </w:r>
      <w:r w:rsidR="00322A0B" w:rsidRPr="008F64B2">
        <w:rPr>
          <w:b/>
          <w:sz w:val="18"/>
        </w:rPr>
        <w:t xml:space="preserve"> </w:t>
      </w:r>
    </w:p>
    <w:p w:rsidR="00BE2872" w:rsidRPr="008F64B2" w:rsidRDefault="00BE2872" w:rsidP="00BE2872">
      <w:pPr>
        <w:framePr w:w="4875" w:h="1732" w:hSpace="142" w:wrap="around" w:vAnchor="page" w:hAnchor="page" w:x="1518" w:y="725"/>
        <w:jc w:val="center"/>
      </w:pPr>
    </w:p>
    <w:p w:rsidR="000552E0" w:rsidRDefault="00CB65C1" w:rsidP="00BE2872">
      <w:pPr>
        <w:framePr w:w="4875" w:h="1732" w:hSpace="142" w:wrap="around" w:vAnchor="page" w:hAnchor="page" w:x="1518" w:y="725"/>
        <w:jc w:val="center"/>
        <w:rPr>
          <w:u w:val="single"/>
        </w:rPr>
      </w:pPr>
      <w:r>
        <w:rPr>
          <w:u w:val="single"/>
        </w:rPr>
        <w:t>1</w:t>
      </w:r>
      <w:r w:rsidR="00347B9A">
        <w:rPr>
          <w:u w:val="single"/>
        </w:rPr>
        <w:t>8</w:t>
      </w:r>
      <w:r w:rsidR="0082183E">
        <w:rPr>
          <w:u w:val="single"/>
        </w:rPr>
        <w:t>.</w:t>
      </w:r>
      <w:r w:rsidR="00CB548F">
        <w:rPr>
          <w:u w:val="single"/>
        </w:rPr>
        <w:t>1</w:t>
      </w:r>
      <w:r w:rsidR="00492615">
        <w:rPr>
          <w:u w:val="single"/>
        </w:rPr>
        <w:t>0</w:t>
      </w:r>
      <w:r w:rsidR="00201B9A" w:rsidRPr="008F64B2">
        <w:rPr>
          <w:u w:val="single"/>
        </w:rPr>
        <w:t>.20</w:t>
      </w:r>
      <w:r w:rsidR="00A3118A" w:rsidRPr="008F64B2">
        <w:rPr>
          <w:u w:val="single"/>
        </w:rPr>
        <w:t>2</w:t>
      </w:r>
      <w:r w:rsidR="00492615">
        <w:rPr>
          <w:u w:val="single"/>
        </w:rPr>
        <w:t>4</w:t>
      </w:r>
      <w:r w:rsidR="003038C5" w:rsidRPr="008F64B2">
        <w:t xml:space="preserve"> </w:t>
      </w:r>
      <w:r w:rsidR="00BE2872" w:rsidRPr="008F64B2">
        <w:t>№</w:t>
      </w:r>
      <w:r w:rsidR="003038C5" w:rsidRPr="008F64B2">
        <w:t xml:space="preserve"> </w:t>
      </w:r>
      <w:r w:rsidR="006D6D1A" w:rsidRPr="008F64B2">
        <w:rPr>
          <w:u w:val="single"/>
        </w:rPr>
        <w:t>05-02-</w:t>
      </w:r>
      <w:r w:rsidR="003172F6">
        <w:rPr>
          <w:u w:val="single"/>
        </w:rPr>
        <w:t>1</w:t>
      </w:r>
      <w:r>
        <w:rPr>
          <w:u w:val="single"/>
        </w:rPr>
        <w:t>8</w:t>
      </w:r>
      <w:r w:rsidR="00F52C44">
        <w:rPr>
          <w:u w:val="single"/>
        </w:rPr>
        <w:t>2</w:t>
      </w:r>
    </w:p>
    <w:p w:rsidR="00BE2872" w:rsidRPr="008F64B2" w:rsidRDefault="00BE2872" w:rsidP="00BE2872">
      <w:pPr>
        <w:framePr w:w="4875" w:h="1732" w:hSpace="142" w:wrap="around" w:vAnchor="page" w:hAnchor="page" w:x="1518" w:y="725"/>
        <w:jc w:val="center"/>
      </w:pPr>
    </w:p>
    <w:p w:rsidR="00BE2872" w:rsidRPr="007A0DFA" w:rsidRDefault="00BE2872" w:rsidP="00BE2872">
      <w:pPr>
        <w:framePr w:w="4875" w:h="1732" w:hSpace="142" w:wrap="around" w:vAnchor="page" w:hAnchor="page" w:x="1518" w:y="725"/>
        <w:jc w:val="center"/>
      </w:pPr>
      <w:r w:rsidRPr="007A0DFA">
        <w:t>На № _________ от ____________</w:t>
      </w:r>
    </w:p>
    <w:p w:rsidR="00270C02" w:rsidRPr="007A0DFA" w:rsidRDefault="00270C02" w:rsidP="00270C02">
      <w:pPr>
        <w:pStyle w:val="ConsPlusNonformat"/>
        <w:widowControl/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  <w:r w:rsidRPr="007A0DFA">
        <w:rPr>
          <w:rFonts w:ascii="Times New Roman" w:hAnsi="Times New Roman" w:cs="Times New Roman"/>
          <w:sz w:val="24"/>
          <w:szCs w:val="24"/>
        </w:rPr>
        <w:t>Сосновоборского городского округа</w:t>
      </w:r>
    </w:p>
    <w:p w:rsidR="00176260" w:rsidRDefault="00CB548F" w:rsidP="00176260">
      <w:pPr>
        <w:pStyle w:val="ConsPlusNonformat"/>
        <w:widowControl/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Афанасьеву А.Н.</w:t>
      </w:r>
    </w:p>
    <w:p w:rsidR="00176260" w:rsidRDefault="00176260" w:rsidP="00176260">
      <w:pPr>
        <w:pStyle w:val="ConsPlusNonformat"/>
        <w:widowControl/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76260" w:rsidRDefault="00A533EE" w:rsidP="00176260">
      <w:pPr>
        <w:pStyle w:val="ConsPlusNonformat"/>
        <w:widowControl/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  <w:r w:rsidRPr="007A0DFA">
        <w:rPr>
          <w:rFonts w:ascii="Times New Roman" w:hAnsi="Times New Roman" w:cs="Times New Roman"/>
          <w:sz w:val="24"/>
          <w:szCs w:val="24"/>
        </w:rPr>
        <w:t>Депутатам совета депутат</w:t>
      </w:r>
      <w:r w:rsidR="00C71ED0">
        <w:rPr>
          <w:rFonts w:ascii="Times New Roman" w:hAnsi="Times New Roman" w:cs="Times New Roman"/>
          <w:sz w:val="24"/>
          <w:szCs w:val="24"/>
        </w:rPr>
        <w:t>ов</w:t>
      </w:r>
    </w:p>
    <w:p w:rsidR="00A533EE" w:rsidRPr="007A0DFA" w:rsidRDefault="00A533EE" w:rsidP="00176260">
      <w:pPr>
        <w:pStyle w:val="ConsPlusNonformat"/>
        <w:widowControl/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  <w:r w:rsidRPr="007A0DFA">
        <w:rPr>
          <w:rFonts w:ascii="Times New Roman" w:hAnsi="Times New Roman" w:cs="Times New Roman"/>
          <w:sz w:val="24"/>
          <w:szCs w:val="24"/>
        </w:rPr>
        <w:t>Сосновоборского городского округа</w:t>
      </w:r>
    </w:p>
    <w:p w:rsidR="00BE2872" w:rsidRPr="007A0DFA" w:rsidRDefault="00BE2872" w:rsidP="00195CB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35817" w:rsidRPr="007A0DFA" w:rsidRDefault="00635817" w:rsidP="00BE28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E2872" w:rsidRPr="007A0DFA" w:rsidRDefault="00BE2872" w:rsidP="00BE2872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7A0DFA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:rsidR="00BE2872" w:rsidRPr="007A0DFA" w:rsidRDefault="00BE2872" w:rsidP="00BE2872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7A0DFA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</w:p>
    <w:p w:rsidR="00BE2872" w:rsidRPr="007A0DFA" w:rsidRDefault="00BE2872" w:rsidP="00BE2872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</w:p>
    <w:p w:rsidR="00734EFE" w:rsidRDefault="00734EFE" w:rsidP="00F5411F">
      <w:pPr>
        <w:pStyle w:val="ConsPlusNonformat"/>
        <w:widowControl/>
        <w:ind w:firstLine="513"/>
        <w:jc w:val="center"/>
        <w:rPr>
          <w:rFonts w:ascii="Times New Roman" w:hAnsi="Times New Roman" w:cs="Times New Roman"/>
          <w:sz w:val="24"/>
          <w:szCs w:val="24"/>
        </w:rPr>
      </w:pPr>
    </w:p>
    <w:p w:rsidR="00A2761A" w:rsidRDefault="00A2761A" w:rsidP="00F5411F">
      <w:pPr>
        <w:pStyle w:val="ConsPlusNonformat"/>
        <w:widowControl/>
        <w:ind w:firstLine="513"/>
        <w:jc w:val="center"/>
        <w:rPr>
          <w:rFonts w:ascii="Times New Roman" w:hAnsi="Times New Roman" w:cs="Times New Roman"/>
          <w:sz w:val="24"/>
          <w:szCs w:val="24"/>
        </w:rPr>
      </w:pPr>
    </w:p>
    <w:p w:rsidR="00B94193" w:rsidRDefault="00B94193" w:rsidP="00F5411F">
      <w:pPr>
        <w:pStyle w:val="ConsPlusNonformat"/>
        <w:widowControl/>
        <w:ind w:firstLine="513"/>
        <w:jc w:val="center"/>
        <w:rPr>
          <w:rFonts w:ascii="Times New Roman" w:hAnsi="Times New Roman" w:cs="Times New Roman"/>
          <w:sz w:val="24"/>
          <w:szCs w:val="24"/>
        </w:rPr>
      </w:pPr>
    </w:p>
    <w:p w:rsidR="00635817" w:rsidRDefault="00F5411F" w:rsidP="00F5411F">
      <w:pPr>
        <w:pStyle w:val="ConsPlusNonformat"/>
        <w:widowControl/>
        <w:ind w:firstLine="513"/>
        <w:jc w:val="center"/>
        <w:rPr>
          <w:rFonts w:ascii="Times New Roman" w:hAnsi="Times New Roman" w:cs="Times New Roman"/>
          <w:sz w:val="24"/>
          <w:szCs w:val="24"/>
        </w:rPr>
      </w:pPr>
      <w:r w:rsidRPr="007A0DFA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A2761A">
        <w:rPr>
          <w:rFonts w:ascii="Times New Roman" w:hAnsi="Times New Roman" w:cs="Times New Roman"/>
          <w:sz w:val="24"/>
          <w:szCs w:val="24"/>
        </w:rPr>
        <w:t>Алекс</w:t>
      </w:r>
      <w:r w:rsidR="00CB548F">
        <w:rPr>
          <w:rFonts w:ascii="Times New Roman" w:hAnsi="Times New Roman" w:cs="Times New Roman"/>
          <w:sz w:val="24"/>
          <w:szCs w:val="24"/>
        </w:rPr>
        <w:t>ей</w:t>
      </w:r>
      <w:r w:rsidR="00A2761A">
        <w:rPr>
          <w:rFonts w:ascii="Times New Roman" w:hAnsi="Times New Roman" w:cs="Times New Roman"/>
          <w:sz w:val="24"/>
          <w:szCs w:val="24"/>
        </w:rPr>
        <w:t xml:space="preserve"> </w:t>
      </w:r>
      <w:r w:rsidR="00CB548F">
        <w:rPr>
          <w:rFonts w:ascii="Times New Roman" w:hAnsi="Times New Roman" w:cs="Times New Roman"/>
          <w:sz w:val="24"/>
          <w:szCs w:val="24"/>
        </w:rPr>
        <w:t>Николае</w:t>
      </w:r>
      <w:r w:rsidR="00A2761A">
        <w:rPr>
          <w:rFonts w:ascii="Times New Roman" w:hAnsi="Times New Roman" w:cs="Times New Roman"/>
          <w:sz w:val="24"/>
          <w:szCs w:val="24"/>
        </w:rPr>
        <w:t>вич</w:t>
      </w:r>
      <w:r w:rsidRPr="007A0DFA">
        <w:rPr>
          <w:rFonts w:ascii="Times New Roman" w:hAnsi="Times New Roman" w:cs="Times New Roman"/>
          <w:sz w:val="24"/>
          <w:szCs w:val="24"/>
        </w:rPr>
        <w:t>!</w:t>
      </w:r>
    </w:p>
    <w:p w:rsidR="00B26F4E" w:rsidRPr="00A2761A" w:rsidRDefault="00B26F4E" w:rsidP="002C6B9C">
      <w:pPr>
        <w:widowControl w:val="0"/>
        <w:tabs>
          <w:tab w:val="left" w:pos="709"/>
        </w:tabs>
        <w:suppressAutoHyphens/>
        <w:ind w:firstLine="709"/>
        <w:jc w:val="both"/>
      </w:pPr>
    </w:p>
    <w:p w:rsidR="00062A30" w:rsidRDefault="006D6D1A" w:rsidP="005E6124">
      <w:pPr>
        <w:ind w:firstLine="513"/>
        <w:jc w:val="both"/>
      </w:pPr>
      <w:r w:rsidRPr="00B94193">
        <w:t>К</w:t>
      </w:r>
      <w:r w:rsidR="00B94193" w:rsidRPr="00B94193">
        <w:t>онтрольно-счётная палата</w:t>
      </w:r>
      <w:r w:rsidRPr="00B94193">
        <w:t xml:space="preserve"> Сосновоборского городского округа в соответствии с пунктом 19 статьи 14 Положения о Контрольно</w:t>
      </w:r>
      <w:r w:rsidR="00176260" w:rsidRPr="00B94193">
        <w:t>-</w:t>
      </w:r>
      <w:r w:rsidRPr="00B94193">
        <w:t xml:space="preserve">счетной палате Сосновоборского городского округа муниципального образования Сосновоборский городской округ Ленинградской области, утвержденного решением совета депутатов Сосновоборского городского округа </w:t>
      </w:r>
      <w:r w:rsidRPr="00062A30">
        <w:t>от 27.02.2019 № 15</w:t>
      </w:r>
      <w:r w:rsidR="00062A30">
        <w:t xml:space="preserve"> (с изменениями)</w:t>
      </w:r>
      <w:r w:rsidR="00463BDE" w:rsidRPr="00062A30">
        <w:t xml:space="preserve">, </w:t>
      </w:r>
      <w:r w:rsidR="00B94193" w:rsidRPr="00062A30">
        <w:t>направляет</w:t>
      </w:r>
      <w:r w:rsidR="00CB548F" w:rsidRPr="00062A30">
        <w:t xml:space="preserve"> </w:t>
      </w:r>
      <w:r w:rsidR="00B94193" w:rsidRPr="00062A30">
        <w:t xml:space="preserve">Заключение от </w:t>
      </w:r>
      <w:r w:rsidR="00CB65C1" w:rsidRPr="00062A30">
        <w:t>1</w:t>
      </w:r>
      <w:r w:rsidR="00347B9A">
        <w:t>8</w:t>
      </w:r>
      <w:r w:rsidR="00B94193" w:rsidRPr="00062A30">
        <w:t>.</w:t>
      </w:r>
      <w:r w:rsidR="00CB548F" w:rsidRPr="00062A30">
        <w:t>1</w:t>
      </w:r>
      <w:r w:rsidR="00B94193" w:rsidRPr="00062A30">
        <w:t xml:space="preserve">0.2024 № </w:t>
      </w:r>
      <w:r w:rsidR="00CB548F" w:rsidRPr="00062A30">
        <w:t>4</w:t>
      </w:r>
      <w:r w:rsidR="00F52C44">
        <w:t>2</w:t>
      </w:r>
      <w:r w:rsidR="00B94193" w:rsidRPr="00062A30">
        <w:t xml:space="preserve"> </w:t>
      </w:r>
      <w:r w:rsidR="003172F6" w:rsidRPr="00062A30">
        <w:t xml:space="preserve">на проект решения совета депутатов </w:t>
      </w:r>
      <w:bookmarkStart w:id="0" w:name="_Hlk180157515"/>
      <w:r w:rsidR="003172F6" w:rsidRPr="00062A30">
        <w:t xml:space="preserve">Сосновоборского городского округа </w:t>
      </w:r>
      <w:bookmarkEnd w:id="0"/>
      <w:r w:rsidR="005E6124" w:rsidRPr="0059059D">
        <w:t>«О внесении изменений в решение Совета депутатов от 13.12.2023 № 166 «О бюджете Сосновоборского городского округа на 2024 год и на плановый период 2025 и 2026 годов»</w:t>
      </w:r>
      <w:r w:rsidR="005E6124">
        <w:t>.</w:t>
      </w:r>
    </w:p>
    <w:p w:rsidR="005E6124" w:rsidRPr="00062A30" w:rsidRDefault="005E6124" w:rsidP="005E6124">
      <w:pPr>
        <w:ind w:firstLine="513"/>
        <w:jc w:val="both"/>
      </w:pPr>
    </w:p>
    <w:p w:rsidR="00BE2872" w:rsidRPr="00062A30" w:rsidRDefault="00AD45F2" w:rsidP="00062A30">
      <w:pPr>
        <w:ind w:firstLine="709"/>
        <w:jc w:val="both"/>
      </w:pPr>
      <w:r w:rsidRPr="00062A30">
        <w:t>Приложени</w:t>
      </w:r>
      <w:r w:rsidR="00CB548F" w:rsidRPr="00062A30">
        <w:t>е</w:t>
      </w:r>
      <w:r w:rsidRPr="00062A30">
        <w:t>:</w:t>
      </w:r>
      <w:r w:rsidR="00CB548F" w:rsidRPr="00062A30">
        <w:t xml:space="preserve"> </w:t>
      </w:r>
      <w:bookmarkStart w:id="1" w:name="_Hlk172547406"/>
      <w:r w:rsidR="00B94193" w:rsidRPr="00062A30">
        <w:t>Заключение</w:t>
      </w:r>
      <w:r w:rsidR="00545699" w:rsidRPr="00062A30">
        <w:t xml:space="preserve"> от </w:t>
      </w:r>
      <w:r w:rsidR="00CB65C1" w:rsidRPr="00062A30">
        <w:t>1</w:t>
      </w:r>
      <w:r w:rsidR="00347B9A">
        <w:t>8</w:t>
      </w:r>
      <w:r w:rsidR="00A67222" w:rsidRPr="00062A30">
        <w:t>.</w:t>
      </w:r>
      <w:r w:rsidR="00CF2A33" w:rsidRPr="00062A30">
        <w:t>1</w:t>
      </w:r>
      <w:r w:rsidR="00492615" w:rsidRPr="00062A30">
        <w:t>0</w:t>
      </w:r>
      <w:r w:rsidR="00A67222" w:rsidRPr="00062A30">
        <w:t>.202</w:t>
      </w:r>
      <w:r w:rsidR="00492615" w:rsidRPr="00062A30">
        <w:t>4</w:t>
      </w:r>
      <w:r w:rsidR="00A67222" w:rsidRPr="00062A30">
        <w:t xml:space="preserve"> № </w:t>
      </w:r>
      <w:r w:rsidR="00CF2A33" w:rsidRPr="00062A30">
        <w:t>4</w:t>
      </w:r>
      <w:r w:rsidR="00F52C44">
        <w:t>2</w:t>
      </w:r>
      <w:r w:rsidR="00A67222" w:rsidRPr="00062A30">
        <w:t xml:space="preserve"> </w:t>
      </w:r>
      <w:r w:rsidR="00545699" w:rsidRPr="00062A30">
        <w:t xml:space="preserve">на </w:t>
      </w:r>
      <w:r w:rsidR="00F52C44">
        <w:t>5</w:t>
      </w:r>
      <w:r w:rsidR="001B06CA" w:rsidRPr="00062A30">
        <w:t xml:space="preserve"> </w:t>
      </w:r>
      <w:r w:rsidR="00545699" w:rsidRPr="00062A30">
        <w:t>л</w:t>
      </w:r>
      <w:r w:rsidR="00B32AFE" w:rsidRPr="00062A30">
        <w:t>.</w:t>
      </w:r>
      <w:r w:rsidR="00935978" w:rsidRPr="00062A30">
        <w:t xml:space="preserve"> в 1 экз</w:t>
      </w:r>
      <w:r w:rsidR="00B32AFE" w:rsidRPr="00062A30">
        <w:t>.</w:t>
      </w:r>
    </w:p>
    <w:bookmarkEnd w:id="1"/>
    <w:p w:rsidR="00192996" w:rsidRPr="00A67222" w:rsidRDefault="00192996" w:rsidP="00BE28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92996" w:rsidRDefault="00192996" w:rsidP="00ED26F1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E425B" w:rsidRDefault="00CE425B" w:rsidP="00ED26F1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D26F1" w:rsidRDefault="00A2761A" w:rsidP="00ED26F1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E44AF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D26F1">
        <w:rPr>
          <w:rFonts w:ascii="Times New Roman" w:hAnsi="Times New Roman" w:cs="Times New Roman"/>
          <w:sz w:val="24"/>
          <w:szCs w:val="24"/>
        </w:rPr>
        <w:t xml:space="preserve"> </w:t>
      </w:r>
      <w:r w:rsidR="00176260">
        <w:rPr>
          <w:rFonts w:ascii="Times New Roman" w:hAnsi="Times New Roman" w:cs="Times New Roman"/>
          <w:sz w:val="24"/>
          <w:szCs w:val="24"/>
        </w:rPr>
        <w:t>контрольно-счётной палаты</w:t>
      </w:r>
    </w:p>
    <w:p w:rsidR="00ED26F1" w:rsidRDefault="00ED26F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Сосновоборского городского округа                                              </w:t>
      </w:r>
      <w:r w:rsidR="00A2761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7626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2761A">
        <w:rPr>
          <w:rFonts w:ascii="Times New Roman" w:hAnsi="Times New Roman" w:cs="Times New Roman"/>
          <w:sz w:val="24"/>
          <w:szCs w:val="24"/>
        </w:rPr>
        <w:t>И.П.</w:t>
      </w:r>
      <w:r w:rsidR="00432D99">
        <w:rPr>
          <w:rFonts w:ascii="Times New Roman" w:hAnsi="Times New Roman" w:cs="Times New Roman"/>
          <w:sz w:val="24"/>
          <w:szCs w:val="24"/>
        </w:rPr>
        <w:t xml:space="preserve"> </w:t>
      </w:r>
      <w:r w:rsidR="00A2761A">
        <w:rPr>
          <w:rFonts w:ascii="Times New Roman" w:hAnsi="Times New Roman" w:cs="Times New Roman"/>
          <w:sz w:val="24"/>
          <w:szCs w:val="24"/>
        </w:rPr>
        <w:t>Уварова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0376" w:rsidRDefault="00BE0376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2872" w:rsidRPr="00001B06" w:rsidRDefault="00BE2872" w:rsidP="00001B06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3B6B2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Pr="003B6B22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E0376" w:rsidRPr="00CB0CD8" w:rsidRDefault="00BE0376" w:rsidP="00BE0376">
      <w:pPr>
        <w:jc w:val="center"/>
        <w:rPr>
          <w:b/>
        </w:rPr>
      </w:pPr>
      <w:r>
        <w:rPr>
          <w:b/>
        </w:rPr>
        <w:t>КОНТРОЛЬНО-СЧЕТНАЯ ПАЛАТА</w:t>
      </w:r>
    </w:p>
    <w:p w:rsidR="00BE0376" w:rsidRPr="00CB0CD8" w:rsidRDefault="00BE0376" w:rsidP="00BE0376">
      <w:pPr>
        <w:jc w:val="center"/>
        <w:rPr>
          <w:b/>
        </w:rPr>
      </w:pPr>
      <w:r w:rsidRPr="00CB0CD8">
        <w:rPr>
          <w:b/>
        </w:rPr>
        <w:t>МУНИЦИПАЛЬНОГО ОБРАЗОВАНИЯ</w:t>
      </w:r>
    </w:p>
    <w:p w:rsidR="00BE0376" w:rsidRPr="00CB0CD8" w:rsidRDefault="00BE0376" w:rsidP="00BE0376">
      <w:pPr>
        <w:pBdr>
          <w:bottom w:val="single" w:sz="12" w:space="1" w:color="auto"/>
        </w:pBdr>
        <w:jc w:val="center"/>
        <w:rPr>
          <w:b/>
        </w:rPr>
      </w:pPr>
      <w:r w:rsidRPr="00CB0CD8">
        <w:rPr>
          <w:b/>
        </w:rPr>
        <w:t>СОСНОВОБОРСКИЙ ГОРОДСКОЙ ОКРУГ ЛЕНИНГРАДСКОЙ ОБЛАСТИ</w:t>
      </w:r>
    </w:p>
    <w:p w:rsidR="00BE0376" w:rsidRPr="00CB0CD8" w:rsidRDefault="00BE0376" w:rsidP="00BE0376">
      <w:pPr>
        <w:pStyle w:val="ConsPlusNonformat"/>
        <w:rPr>
          <w:b/>
        </w:rPr>
      </w:pPr>
    </w:p>
    <w:p w:rsidR="00BE0376" w:rsidRPr="0059059D" w:rsidRDefault="00BE0376" w:rsidP="00BE0376">
      <w:pPr>
        <w:jc w:val="both"/>
        <w:rPr>
          <w:b/>
          <w:iCs/>
        </w:rPr>
      </w:pPr>
      <w:r w:rsidRPr="0059059D">
        <w:rPr>
          <w:b/>
          <w:iCs/>
        </w:rPr>
        <w:t xml:space="preserve">18.10.2024                                                                                                                   </w:t>
      </w:r>
      <w:r w:rsidRPr="0059059D">
        <w:rPr>
          <w:b/>
          <w:iCs/>
        </w:rPr>
        <w:tab/>
        <w:t xml:space="preserve">     № 4</w:t>
      </w:r>
      <w:r>
        <w:rPr>
          <w:b/>
          <w:iCs/>
        </w:rPr>
        <w:t>2</w:t>
      </w:r>
    </w:p>
    <w:p w:rsidR="00BE0376" w:rsidRPr="005E70CF" w:rsidRDefault="00BE0376" w:rsidP="00BE0376">
      <w:pPr>
        <w:jc w:val="both"/>
        <w:rPr>
          <w:bCs/>
          <w:iCs/>
        </w:rPr>
      </w:pPr>
      <w:r w:rsidRPr="005E70CF">
        <w:rPr>
          <w:bCs/>
          <w:iCs/>
        </w:rPr>
        <w:t>г. Сосновый Бор Ленинградской области</w:t>
      </w:r>
    </w:p>
    <w:p w:rsidR="00BE0376" w:rsidRDefault="00BE0376" w:rsidP="00BE0376">
      <w:pPr>
        <w:pStyle w:val="a6"/>
        <w:ind w:firstLine="709"/>
        <w:rPr>
          <w:bCs w:val="0"/>
        </w:rPr>
      </w:pPr>
    </w:p>
    <w:p w:rsidR="00BE0376" w:rsidRPr="004C4CF7" w:rsidRDefault="00BE0376" w:rsidP="00BE0376">
      <w:pPr>
        <w:pStyle w:val="a6"/>
        <w:rPr>
          <w:bCs w:val="0"/>
        </w:rPr>
      </w:pPr>
      <w:r w:rsidRPr="004C4CF7">
        <w:rPr>
          <w:bCs w:val="0"/>
        </w:rPr>
        <w:t>ЗАКЛЮЧЕНИЕ</w:t>
      </w:r>
    </w:p>
    <w:p w:rsidR="00BE0376" w:rsidRPr="00557629" w:rsidRDefault="00BE0376" w:rsidP="00BE0376">
      <w:pPr>
        <w:jc w:val="center"/>
        <w:rPr>
          <w:b/>
          <w:bCs/>
        </w:rPr>
      </w:pPr>
      <w:r w:rsidRPr="00557629">
        <w:rPr>
          <w:b/>
          <w:bCs/>
        </w:rPr>
        <w:t>на проект решения совета депутатов</w:t>
      </w:r>
      <w:r w:rsidRPr="0059059D">
        <w:rPr>
          <w:b/>
          <w:bCs/>
        </w:rPr>
        <w:t xml:space="preserve"> </w:t>
      </w:r>
      <w:r w:rsidRPr="009F1948">
        <w:rPr>
          <w:b/>
          <w:bCs/>
        </w:rPr>
        <w:t>Сосновоборского городского округа</w:t>
      </w:r>
    </w:p>
    <w:p w:rsidR="00BE0376" w:rsidRDefault="00BE0376" w:rsidP="00BE0376">
      <w:pPr>
        <w:jc w:val="center"/>
        <w:rPr>
          <w:b/>
          <w:bCs/>
        </w:rPr>
      </w:pPr>
      <w:bookmarkStart w:id="2" w:name="_Hlk130382605"/>
      <w:r w:rsidRPr="009F1948">
        <w:rPr>
          <w:b/>
          <w:bCs/>
        </w:rPr>
        <w:t>«О внесении изменений в решение Совета депутатов от 1</w:t>
      </w:r>
      <w:r>
        <w:rPr>
          <w:b/>
          <w:bCs/>
        </w:rPr>
        <w:t>3</w:t>
      </w:r>
      <w:r w:rsidRPr="009F1948">
        <w:rPr>
          <w:b/>
          <w:bCs/>
        </w:rPr>
        <w:t>.12.202</w:t>
      </w:r>
      <w:r>
        <w:rPr>
          <w:b/>
          <w:bCs/>
        </w:rPr>
        <w:t>3</w:t>
      </w:r>
      <w:r w:rsidRPr="009F1948">
        <w:rPr>
          <w:b/>
          <w:bCs/>
        </w:rPr>
        <w:t xml:space="preserve"> № 1</w:t>
      </w:r>
      <w:r>
        <w:rPr>
          <w:b/>
          <w:bCs/>
        </w:rPr>
        <w:t>66</w:t>
      </w:r>
      <w:r w:rsidRPr="009F1948">
        <w:rPr>
          <w:b/>
          <w:bCs/>
        </w:rPr>
        <w:t xml:space="preserve"> </w:t>
      </w:r>
    </w:p>
    <w:p w:rsidR="00BE0376" w:rsidRDefault="00BE0376" w:rsidP="00BE0376">
      <w:pPr>
        <w:jc w:val="center"/>
        <w:rPr>
          <w:b/>
          <w:bCs/>
        </w:rPr>
      </w:pPr>
      <w:r w:rsidRPr="009F1948">
        <w:rPr>
          <w:b/>
          <w:bCs/>
        </w:rPr>
        <w:t>«О бюджете Сосновоборского городского округа на 202</w:t>
      </w:r>
      <w:r>
        <w:rPr>
          <w:b/>
          <w:bCs/>
        </w:rPr>
        <w:t>4</w:t>
      </w:r>
      <w:r w:rsidRPr="009F1948">
        <w:rPr>
          <w:b/>
          <w:bCs/>
        </w:rPr>
        <w:t xml:space="preserve"> год </w:t>
      </w:r>
    </w:p>
    <w:p w:rsidR="00BE0376" w:rsidRDefault="00BE0376" w:rsidP="00BE0376">
      <w:pPr>
        <w:jc w:val="center"/>
        <w:rPr>
          <w:b/>
          <w:bCs/>
        </w:rPr>
      </w:pPr>
      <w:r w:rsidRPr="009F1948">
        <w:rPr>
          <w:b/>
          <w:bCs/>
        </w:rPr>
        <w:t>и на плановый период 202</w:t>
      </w:r>
      <w:r>
        <w:rPr>
          <w:b/>
          <w:bCs/>
        </w:rPr>
        <w:t>5</w:t>
      </w:r>
      <w:r w:rsidRPr="009F1948">
        <w:rPr>
          <w:b/>
          <w:bCs/>
        </w:rPr>
        <w:t xml:space="preserve"> и 202</w:t>
      </w:r>
      <w:r>
        <w:rPr>
          <w:b/>
          <w:bCs/>
        </w:rPr>
        <w:t>6</w:t>
      </w:r>
      <w:r w:rsidRPr="009F1948">
        <w:rPr>
          <w:b/>
          <w:bCs/>
        </w:rPr>
        <w:t xml:space="preserve"> годов»</w:t>
      </w:r>
    </w:p>
    <w:bookmarkEnd w:id="2"/>
    <w:p w:rsidR="00BE0376" w:rsidRDefault="00BE0376" w:rsidP="00BE0376">
      <w:pPr>
        <w:ind w:firstLine="709"/>
        <w:jc w:val="center"/>
      </w:pPr>
    </w:p>
    <w:p w:rsidR="00BE0376" w:rsidRPr="006D0F57" w:rsidRDefault="00BE0376" w:rsidP="00BE0376">
      <w:pPr>
        <w:autoSpaceDE w:val="0"/>
        <w:autoSpaceDN w:val="0"/>
        <w:adjustRightInd w:val="0"/>
        <w:ind w:firstLine="709"/>
        <w:jc w:val="both"/>
      </w:pPr>
      <w:r w:rsidRPr="006D0F57">
        <w:t xml:space="preserve">Настоящее экспертное заключение подготовлено на основании статьи </w:t>
      </w:r>
      <w:r>
        <w:t>79</w:t>
      </w:r>
      <w:r w:rsidRPr="006D0F57">
        <w:t xml:space="preserve"> </w:t>
      </w:r>
      <w:r w:rsidRPr="00370DC4">
        <w:t>Положения о бюджетном процессе в Сосновоборском городском округе, утвержденного решением совета депутатов от 20.11.2007 № 143</w:t>
      </w:r>
      <w:r>
        <w:t xml:space="preserve"> (с изменениями)</w:t>
      </w:r>
      <w:r w:rsidRPr="006D0F57">
        <w:t xml:space="preserve">. </w:t>
      </w:r>
    </w:p>
    <w:p w:rsidR="00BE0376" w:rsidRPr="0059059D" w:rsidRDefault="00BE0376" w:rsidP="00BE0376">
      <w:pPr>
        <w:ind w:firstLine="708"/>
        <w:jc w:val="both"/>
        <w:rPr>
          <w:iCs/>
        </w:rPr>
      </w:pPr>
      <w:r w:rsidRPr="0059059D">
        <w:rPr>
          <w:iCs/>
        </w:rPr>
        <w:t xml:space="preserve">Проект </w:t>
      </w:r>
      <w:r w:rsidRPr="0059059D">
        <w:t>решения совета депутатов Сосновоборского городского округа</w:t>
      </w:r>
      <w:r>
        <w:t xml:space="preserve"> </w:t>
      </w:r>
      <w:r w:rsidRPr="0059059D">
        <w:t xml:space="preserve">«О внесении изменений в решение Совета депутатов от 13.12.2023 № 166 «О бюджете Сосновоборского городского округа на 2024 год и на плановый период 2025 и 2026 годов» </w:t>
      </w:r>
      <w:r>
        <w:t xml:space="preserve">(далее – проект решения СД СГО) </w:t>
      </w:r>
      <w:r w:rsidRPr="0059059D">
        <w:t>поступил в К</w:t>
      </w:r>
      <w:r>
        <w:t>онтрольно-счётную палату</w:t>
      </w:r>
      <w:r w:rsidRPr="0059059D">
        <w:t xml:space="preserve"> Сосновоборского городского округа </w:t>
      </w:r>
      <w:r>
        <w:t xml:space="preserve">(далее – КСП СГО) </w:t>
      </w:r>
      <w:r w:rsidRPr="0059059D">
        <w:t>1</w:t>
      </w:r>
      <w:r>
        <w:t>6</w:t>
      </w:r>
      <w:r w:rsidRPr="0059059D">
        <w:t>.</w:t>
      </w:r>
      <w:r>
        <w:t>10</w:t>
      </w:r>
      <w:r w:rsidRPr="0059059D">
        <w:t>.202</w:t>
      </w:r>
      <w:r>
        <w:t>4</w:t>
      </w:r>
      <w:r w:rsidRPr="0059059D">
        <w:t xml:space="preserve">. </w:t>
      </w:r>
    </w:p>
    <w:p w:rsidR="00BE0376" w:rsidRDefault="00BE0376" w:rsidP="00BE0376">
      <w:pPr>
        <w:pStyle w:val="textindent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850D8">
        <w:rPr>
          <w:rFonts w:ascii="Times New Roman" w:hAnsi="Times New Roman" w:cs="Times New Roman"/>
          <w:sz w:val="24"/>
          <w:szCs w:val="24"/>
        </w:rPr>
        <w:t xml:space="preserve">Согласно пояснительной записке к проекту решения СД СГО основной целью представленного на экспертизу проекта решения СД СГО </w:t>
      </w:r>
      <w:r w:rsidRPr="00B850D8">
        <w:rPr>
          <w:rFonts w:ascii="Times New Roman" w:hAnsi="Times New Roman" w:cs="Times New Roman"/>
          <w:color w:val="auto"/>
          <w:sz w:val="24"/>
          <w:szCs w:val="24"/>
        </w:rPr>
        <w:t xml:space="preserve">является увеличение объёмов доходов, увеличение расходов, </w:t>
      </w:r>
      <w:r w:rsidRPr="00AE5893">
        <w:rPr>
          <w:rFonts w:ascii="Times New Roman" w:hAnsi="Times New Roman" w:cs="Times New Roman"/>
          <w:color w:val="auto"/>
          <w:sz w:val="24"/>
          <w:szCs w:val="24"/>
        </w:rPr>
        <w:t>изменение источников финансирования дефицита бюджета Сосновоборского городского округа</w:t>
      </w:r>
      <w:r w:rsidRPr="00B850D8">
        <w:rPr>
          <w:rFonts w:ascii="Times New Roman" w:hAnsi="Times New Roman" w:cs="Times New Roman"/>
          <w:sz w:val="24"/>
          <w:szCs w:val="24"/>
        </w:rPr>
        <w:t xml:space="preserve"> (далее - бюджет СГО), а также перераспределение ранее утвержденных расходов. </w:t>
      </w:r>
    </w:p>
    <w:p w:rsidR="00BE0376" w:rsidRDefault="00BE0376" w:rsidP="00BE0376">
      <w:pPr>
        <w:pStyle w:val="textindent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850D8">
        <w:rPr>
          <w:rFonts w:ascii="Times New Roman" w:hAnsi="Times New Roman" w:cs="Times New Roman"/>
          <w:sz w:val="24"/>
          <w:szCs w:val="24"/>
        </w:rPr>
        <w:t>Внесены изменения в Программу муниципальных внутренних заимствований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50D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850D8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0376" w:rsidRPr="00B850D8" w:rsidRDefault="00BE0376" w:rsidP="00BE0376">
      <w:pPr>
        <w:pStyle w:val="textindent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E0376" w:rsidRDefault="00BE0376" w:rsidP="00BE0376">
      <w:pPr>
        <w:numPr>
          <w:ilvl w:val="0"/>
          <w:numId w:val="7"/>
        </w:numPr>
        <w:ind w:left="0" w:firstLine="0"/>
        <w:jc w:val="center"/>
        <w:rPr>
          <w:b/>
        </w:rPr>
      </w:pPr>
      <w:r w:rsidRPr="00B850D8">
        <w:rPr>
          <w:b/>
        </w:rPr>
        <w:t>Доходы бюджета Сосновоборского городского округа</w:t>
      </w:r>
      <w:r>
        <w:rPr>
          <w:b/>
        </w:rPr>
        <w:t>.</w:t>
      </w:r>
    </w:p>
    <w:p w:rsidR="00BE0376" w:rsidRPr="00B850D8" w:rsidRDefault="00BE0376" w:rsidP="00BE0376">
      <w:pPr>
        <w:rPr>
          <w:b/>
        </w:rPr>
      </w:pPr>
    </w:p>
    <w:p w:rsidR="00BE0376" w:rsidRPr="00B850D8" w:rsidRDefault="00BE0376" w:rsidP="00BE0376">
      <w:pPr>
        <w:ind w:firstLine="709"/>
        <w:jc w:val="both"/>
      </w:pPr>
      <w:r w:rsidRPr="00B850D8">
        <w:t xml:space="preserve">Утвержденный план по доходам предлагается увеличить </w:t>
      </w:r>
      <w:r w:rsidRPr="00D05923">
        <w:t>на 238 884,49373 тыс</w:t>
      </w:r>
      <w:r w:rsidRPr="00B850D8">
        <w:rPr>
          <w:bCs/>
        </w:rPr>
        <w:t xml:space="preserve">. руб. и утвердить в сумме </w:t>
      </w:r>
      <w:r>
        <w:rPr>
          <w:b/>
          <w:bCs/>
        </w:rPr>
        <w:t>4 134 707,16712</w:t>
      </w:r>
      <w:r w:rsidRPr="00B850D8">
        <w:t xml:space="preserve"> </w:t>
      </w:r>
      <w:r w:rsidRPr="00B850D8">
        <w:rPr>
          <w:bCs/>
        </w:rPr>
        <w:t>тыс</w:t>
      </w:r>
      <w:r>
        <w:rPr>
          <w:bCs/>
        </w:rPr>
        <w:t>.</w:t>
      </w:r>
      <w:r w:rsidRPr="00B850D8">
        <w:rPr>
          <w:bCs/>
        </w:rPr>
        <w:t xml:space="preserve"> руб</w:t>
      </w:r>
      <w:r>
        <w:rPr>
          <w:bCs/>
        </w:rPr>
        <w:t>.</w:t>
      </w:r>
      <w:r w:rsidRPr="00B850D8">
        <w:t>, в том числе за счет:</w:t>
      </w:r>
    </w:p>
    <w:p w:rsidR="00BE0376" w:rsidRPr="00B850D8" w:rsidRDefault="00BE0376" w:rsidP="00BE0376">
      <w:pPr>
        <w:ind w:firstLine="709"/>
        <w:jc w:val="both"/>
      </w:pPr>
      <w:r w:rsidRPr="00B850D8">
        <w:t>а) у</w:t>
      </w:r>
      <w:r>
        <w:t>величения</w:t>
      </w:r>
      <w:r w:rsidRPr="00B850D8">
        <w:t xml:space="preserve"> безвозмездных поступлений на </w:t>
      </w:r>
      <w:r>
        <w:t>33 272,99</w:t>
      </w:r>
      <w:r w:rsidRPr="00B850D8">
        <w:t xml:space="preserve"> тыс. руб., из них:</w:t>
      </w:r>
    </w:p>
    <w:p w:rsidR="00BE0376" w:rsidRPr="00B850D8" w:rsidRDefault="00BE0376" w:rsidP="00BE0376">
      <w:pPr>
        <w:ind w:firstLine="709"/>
        <w:jc w:val="both"/>
      </w:pPr>
      <w:r w:rsidRPr="00B850D8">
        <w:t xml:space="preserve">- </w:t>
      </w:r>
      <w:r>
        <w:t>б</w:t>
      </w:r>
      <w:r w:rsidRPr="00971593">
        <w:t xml:space="preserve">езвозмездные поступления </w:t>
      </w:r>
      <w:r>
        <w:t xml:space="preserve">от других бюджетов </w:t>
      </w:r>
      <w:r w:rsidRPr="00B850D8">
        <w:t xml:space="preserve">увеличены на </w:t>
      </w:r>
      <w:r w:rsidRPr="00C1334C">
        <w:t>33 197,99 тыс</w:t>
      </w:r>
      <w:r w:rsidRPr="00B850D8">
        <w:t>. руб.</w:t>
      </w:r>
      <w:r>
        <w:t>;</w:t>
      </w:r>
    </w:p>
    <w:p w:rsidR="00BE0376" w:rsidRDefault="00BE0376" w:rsidP="00BE0376">
      <w:pPr>
        <w:ind w:firstLine="709"/>
        <w:jc w:val="both"/>
      </w:pPr>
      <w:r>
        <w:t>- б</w:t>
      </w:r>
      <w:r w:rsidRPr="00971593">
        <w:t>езвозмездные поступления от  государственных организаций</w:t>
      </w:r>
      <w:r>
        <w:t xml:space="preserve"> увеличены на 75 тыс. руб.;</w:t>
      </w:r>
    </w:p>
    <w:p w:rsidR="00BE0376" w:rsidRPr="00B850D8" w:rsidRDefault="00BE0376" w:rsidP="00BE0376">
      <w:pPr>
        <w:ind w:firstLine="709"/>
        <w:jc w:val="both"/>
      </w:pPr>
    </w:p>
    <w:p w:rsidR="00BE0376" w:rsidRPr="00B850D8" w:rsidRDefault="00BE0376" w:rsidP="00BE0376">
      <w:pPr>
        <w:ind w:firstLine="709"/>
        <w:jc w:val="both"/>
      </w:pPr>
      <w:r w:rsidRPr="00B850D8">
        <w:t xml:space="preserve">б) увеличения собственных доходов на </w:t>
      </w:r>
      <w:r>
        <w:t>205 611,50373</w:t>
      </w:r>
      <w:r w:rsidRPr="00B850D8">
        <w:t xml:space="preserve"> тыс. руб., из них:</w:t>
      </w:r>
    </w:p>
    <w:p w:rsidR="00BE0376" w:rsidRPr="00B850D8" w:rsidRDefault="00BE0376" w:rsidP="00BE0376">
      <w:pPr>
        <w:ind w:firstLine="709"/>
        <w:jc w:val="both"/>
      </w:pPr>
      <w:r w:rsidRPr="00B850D8">
        <w:t xml:space="preserve">- увеличение поступлений НДФЛ на </w:t>
      </w:r>
      <w:bookmarkStart w:id="3" w:name="_Hlk180066799"/>
      <w:r>
        <w:t>132 906,2</w:t>
      </w:r>
      <w:r w:rsidRPr="00B850D8">
        <w:t xml:space="preserve"> </w:t>
      </w:r>
      <w:bookmarkEnd w:id="3"/>
      <w:r w:rsidRPr="00B850D8">
        <w:t>тыс. руб.,</w:t>
      </w:r>
    </w:p>
    <w:p w:rsidR="00BE0376" w:rsidRPr="00B850D8" w:rsidRDefault="00BE0376" w:rsidP="00BE0376">
      <w:pPr>
        <w:ind w:firstLine="709"/>
        <w:jc w:val="both"/>
      </w:pPr>
      <w:r w:rsidRPr="00B850D8">
        <w:t>- увеличение налог</w:t>
      </w:r>
      <w:r>
        <w:t xml:space="preserve">а, взимаемого в связи с применением УСН, </w:t>
      </w:r>
      <w:r w:rsidRPr="00B850D8">
        <w:t xml:space="preserve">на </w:t>
      </w:r>
      <w:r>
        <w:t>73 313</w:t>
      </w:r>
      <w:r w:rsidRPr="00B850D8">
        <w:t>,0 тыс. руб.,</w:t>
      </w:r>
    </w:p>
    <w:p w:rsidR="00BE0376" w:rsidRPr="00B850D8" w:rsidRDefault="00BE0376" w:rsidP="00BE0376">
      <w:pPr>
        <w:ind w:firstLine="709"/>
        <w:jc w:val="both"/>
      </w:pPr>
      <w:r w:rsidRPr="00B850D8">
        <w:t>- увеличение налог</w:t>
      </w:r>
      <w:r>
        <w:t xml:space="preserve">а, взимаемого в связи с применением ЕНВД, </w:t>
      </w:r>
      <w:r w:rsidRPr="00B850D8">
        <w:t xml:space="preserve">на </w:t>
      </w:r>
      <w:r>
        <w:t>114</w:t>
      </w:r>
      <w:r w:rsidRPr="00B850D8">
        <w:t>,0 тыс. руб.,</w:t>
      </w:r>
    </w:p>
    <w:p w:rsidR="00BE0376" w:rsidRPr="00B850D8" w:rsidRDefault="00BE0376" w:rsidP="00BE0376">
      <w:pPr>
        <w:ind w:firstLine="709"/>
        <w:jc w:val="both"/>
      </w:pPr>
      <w:r w:rsidRPr="00B850D8">
        <w:t>- увеличение налог</w:t>
      </w:r>
      <w:r>
        <w:t xml:space="preserve">а, взимаемого в связи с применением патентной системы, </w:t>
      </w:r>
      <w:r w:rsidRPr="00B850D8">
        <w:t xml:space="preserve">на </w:t>
      </w:r>
      <w:r>
        <w:t>1035</w:t>
      </w:r>
      <w:r w:rsidRPr="00B850D8">
        <w:t>,0 тыс. руб.,</w:t>
      </w:r>
    </w:p>
    <w:p w:rsidR="00BE0376" w:rsidRPr="00B850D8" w:rsidRDefault="00BE0376" w:rsidP="00BE0376">
      <w:pPr>
        <w:ind w:firstLine="709"/>
        <w:jc w:val="both"/>
      </w:pPr>
      <w:bookmarkStart w:id="4" w:name="_Hlk180062794"/>
      <w:r w:rsidRPr="00B850D8">
        <w:t xml:space="preserve">- увеличение налогов на имущество </w:t>
      </w:r>
      <w:r>
        <w:t xml:space="preserve">физических лиц </w:t>
      </w:r>
      <w:r w:rsidRPr="00B850D8">
        <w:t xml:space="preserve">на </w:t>
      </w:r>
      <w:r>
        <w:t>864</w:t>
      </w:r>
      <w:r w:rsidRPr="00B850D8">
        <w:t>,0 тыс. руб.,</w:t>
      </w:r>
    </w:p>
    <w:bookmarkEnd w:id="4"/>
    <w:p w:rsidR="00BE0376" w:rsidRPr="00B850D8" w:rsidRDefault="00BE0376" w:rsidP="00BE0376">
      <w:pPr>
        <w:ind w:firstLine="709"/>
        <w:jc w:val="both"/>
      </w:pPr>
      <w:r w:rsidRPr="00B850D8">
        <w:t>- у</w:t>
      </w:r>
      <w:r>
        <w:t>меньш</w:t>
      </w:r>
      <w:r w:rsidRPr="00B850D8">
        <w:t xml:space="preserve">ение </w:t>
      </w:r>
      <w:r>
        <w:t xml:space="preserve">земельного </w:t>
      </w:r>
      <w:r w:rsidRPr="00B850D8">
        <w:t>налог</w:t>
      </w:r>
      <w:r>
        <w:t xml:space="preserve">а с организаций </w:t>
      </w:r>
      <w:r w:rsidRPr="00B850D8">
        <w:t xml:space="preserve">на </w:t>
      </w:r>
      <w:r>
        <w:t>25 658</w:t>
      </w:r>
      <w:r w:rsidRPr="00B850D8">
        <w:t>,0 тыс. руб.,</w:t>
      </w:r>
    </w:p>
    <w:p w:rsidR="00BE0376" w:rsidRPr="00B850D8" w:rsidRDefault="00BE0376" w:rsidP="00BE0376">
      <w:pPr>
        <w:ind w:firstLine="709"/>
        <w:jc w:val="both"/>
      </w:pPr>
      <w:r w:rsidRPr="00B850D8">
        <w:t xml:space="preserve">- увеличение </w:t>
      </w:r>
      <w:r>
        <w:t xml:space="preserve">земельного </w:t>
      </w:r>
      <w:r w:rsidRPr="00B850D8">
        <w:t>налог</w:t>
      </w:r>
      <w:r>
        <w:t xml:space="preserve">а физических лиц </w:t>
      </w:r>
      <w:r w:rsidRPr="00B850D8">
        <w:t xml:space="preserve">на </w:t>
      </w:r>
      <w:r>
        <w:t>76</w:t>
      </w:r>
      <w:r w:rsidRPr="00B850D8">
        <w:t>,0 тыс. руб.,</w:t>
      </w:r>
    </w:p>
    <w:p w:rsidR="00BE0376" w:rsidRPr="00B850D8" w:rsidRDefault="00BE0376" w:rsidP="00BE0376">
      <w:pPr>
        <w:ind w:firstLine="709"/>
        <w:jc w:val="both"/>
      </w:pPr>
      <w:r w:rsidRPr="00B850D8">
        <w:t>- увеличение государственной пошлины на 1</w:t>
      </w:r>
      <w:r>
        <w:t> 826,0</w:t>
      </w:r>
      <w:r w:rsidRPr="00B850D8">
        <w:t xml:space="preserve"> тыс. руб.,</w:t>
      </w:r>
    </w:p>
    <w:p w:rsidR="00BE0376" w:rsidRDefault="00BE0376" w:rsidP="00BE0376">
      <w:pPr>
        <w:tabs>
          <w:tab w:val="left" w:pos="9355"/>
          <w:tab w:val="left" w:pos="9540"/>
        </w:tabs>
        <w:ind w:right="-5" w:firstLine="709"/>
        <w:jc w:val="both"/>
      </w:pPr>
      <w:r w:rsidRPr="002D6098">
        <w:lastRenderedPageBreak/>
        <w:t xml:space="preserve">- </w:t>
      </w:r>
      <w:r>
        <w:t xml:space="preserve">увеличение </w:t>
      </w:r>
      <w:r w:rsidRPr="002D6098">
        <w:t>доход</w:t>
      </w:r>
      <w:r>
        <w:t>ов</w:t>
      </w:r>
      <w:r w:rsidRPr="002D6098">
        <w:t>, получаемым в виде арендной платы за земельные участки, а также средства от продажи права на заключение договоров аренды указанных земельных участков,</w:t>
      </w:r>
      <w:r w:rsidRPr="002D6098">
        <w:rPr>
          <w:color w:val="FF0000"/>
        </w:rPr>
        <w:t xml:space="preserve"> </w:t>
      </w:r>
      <w:r w:rsidRPr="002D6098">
        <w:t>на сумму 8 949,58310 тыс. руб</w:t>
      </w:r>
      <w:r>
        <w:t>.</w:t>
      </w:r>
      <w:r w:rsidRPr="002D6098">
        <w:t>,</w:t>
      </w:r>
    </w:p>
    <w:p w:rsidR="00BE0376" w:rsidRPr="002D6098" w:rsidRDefault="00BE0376" w:rsidP="00BE0376">
      <w:pPr>
        <w:tabs>
          <w:tab w:val="left" w:pos="9355"/>
          <w:tab w:val="left" w:pos="9540"/>
        </w:tabs>
        <w:ind w:right="-5" w:firstLine="709"/>
        <w:jc w:val="both"/>
      </w:pPr>
      <w:r w:rsidRPr="002D6098">
        <w:t>-</w:t>
      </w:r>
      <w:r>
        <w:t xml:space="preserve"> увеличение </w:t>
      </w:r>
      <w:r w:rsidRPr="002D6098">
        <w:t>доход</w:t>
      </w:r>
      <w:r>
        <w:t>ов</w:t>
      </w:r>
      <w:r w:rsidRPr="002D6098">
        <w:t xml:space="preserve"> от перечисления части прибыли</w:t>
      </w:r>
      <w:r>
        <w:t xml:space="preserve"> </w:t>
      </w:r>
      <w:r w:rsidRPr="002D6098">
        <w:t>на сумму 10,009 тыс. руб</w:t>
      </w:r>
      <w:r>
        <w:t>.</w:t>
      </w:r>
      <w:r w:rsidRPr="002D6098">
        <w:t xml:space="preserve">, </w:t>
      </w:r>
    </w:p>
    <w:p w:rsidR="00BE0376" w:rsidRPr="002D6098" w:rsidRDefault="00BE0376" w:rsidP="00BE0376">
      <w:pPr>
        <w:tabs>
          <w:tab w:val="left" w:pos="9355"/>
          <w:tab w:val="left" w:pos="9540"/>
        </w:tabs>
        <w:ind w:right="-5" w:firstLine="720"/>
        <w:jc w:val="both"/>
      </w:pPr>
      <w:r w:rsidRPr="002D6098">
        <w:t xml:space="preserve">- </w:t>
      </w:r>
      <w:r>
        <w:t>увеличение доходов по прочим</w:t>
      </w:r>
      <w:r w:rsidRPr="002D6098">
        <w:t xml:space="preserve"> поступлениям от использования имущества, находящегося в собственности городских округов на сумму 340,70704 тыс. руб</w:t>
      </w:r>
      <w:r>
        <w:t>.</w:t>
      </w:r>
      <w:r w:rsidRPr="002D6098">
        <w:t xml:space="preserve">, </w:t>
      </w:r>
    </w:p>
    <w:p w:rsidR="00BE0376" w:rsidRPr="002D6098" w:rsidRDefault="00BE0376" w:rsidP="00BE0376">
      <w:pPr>
        <w:tabs>
          <w:tab w:val="left" w:pos="9355"/>
          <w:tab w:val="left" w:pos="9540"/>
        </w:tabs>
        <w:ind w:right="-5" w:firstLine="720"/>
        <w:jc w:val="both"/>
      </w:pPr>
      <w:r w:rsidRPr="002D6098">
        <w:t xml:space="preserve">- увеличение доходов от оказания платных услуг и компенсации затрат государства, </w:t>
      </w:r>
      <w:r>
        <w:t>н</w:t>
      </w:r>
      <w:r w:rsidRPr="002D6098">
        <w:t>а сумму 515,41197 тыс. руб</w:t>
      </w:r>
      <w:r>
        <w:t>.</w:t>
      </w:r>
      <w:r w:rsidRPr="002D6098">
        <w:t xml:space="preserve">, </w:t>
      </w:r>
    </w:p>
    <w:p w:rsidR="00BE0376" w:rsidRPr="002D6098" w:rsidRDefault="00BE0376" w:rsidP="00BE0376">
      <w:pPr>
        <w:tabs>
          <w:tab w:val="left" w:pos="9355"/>
          <w:tab w:val="left" w:pos="9540"/>
        </w:tabs>
        <w:ind w:right="-5" w:firstLine="720"/>
        <w:jc w:val="both"/>
      </w:pPr>
      <w:r w:rsidRPr="002D6098">
        <w:t>- увеличение доходов от продажи земельных участков, находящихся в собственности городских округов на сумму 2 261,835 тыс. руб</w:t>
      </w:r>
      <w:r>
        <w:t>.</w:t>
      </w:r>
      <w:r w:rsidRPr="002D6098">
        <w:t xml:space="preserve">, </w:t>
      </w:r>
    </w:p>
    <w:p w:rsidR="00BE0376" w:rsidRPr="002D6098" w:rsidRDefault="00BE0376" w:rsidP="00BE0376">
      <w:pPr>
        <w:tabs>
          <w:tab w:val="left" w:pos="9355"/>
          <w:tab w:val="left" w:pos="9540"/>
        </w:tabs>
        <w:ind w:right="-5" w:firstLine="720"/>
        <w:jc w:val="both"/>
      </w:pPr>
      <w:r w:rsidRPr="002D6098">
        <w:t>-</w:t>
      </w:r>
      <w:r>
        <w:t xml:space="preserve"> </w:t>
      </w:r>
      <w:r w:rsidRPr="002D6098">
        <w:t xml:space="preserve">увеличение доходов по штрафам, санкциям, возмещению ущерба, </w:t>
      </w:r>
      <w:r>
        <w:t>н</w:t>
      </w:r>
      <w:r w:rsidRPr="002D6098">
        <w:t>а 106,90203</w:t>
      </w:r>
      <w:r w:rsidRPr="002D6098">
        <w:rPr>
          <w:b/>
          <w:bCs/>
          <w:sz w:val="20"/>
          <w:szCs w:val="20"/>
        </w:rPr>
        <w:t xml:space="preserve"> </w:t>
      </w:r>
      <w:r w:rsidRPr="002D6098">
        <w:t>тыс. руб.</w:t>
      </w:r>
      <w:r>
        <w:t>,</w:t>
      </w:r>
    </w:p>
    <w:p w:rsidR="00BE0376" w:rsidRPr="002D6098" w:rsidRDefault="00BE0376" w:rsidP="00BE0376">
      <w:pPr>
        <w:tabs>
          <w:tab w:val="left" w:pos="9355"/>
          <w:tab w:val="left" w:pos="9540"/>
        </w:tabs>
        <w:ind w:right="-5" w:firstLine="720"/>
        <w:jc w:val="both"/>
      </w:pPr>
      <w:r w:rsidRPr="002D6098">
        <w:t>-</w:t>
      </w:r>
      <w:r>
        <w:t xml:space="preserve"> </w:t>
      </w:r>
      <w:r w:rsidRPr="002D6098">
        <w:t>увеличение доходов по прочим неналоговым доходам бюджетов городских округов, на 8 950,85559 тыс.</w:t>
      </w:r>
      <w:r>
        <w:t xml:space="preserve"> </w:t>
      </w:r>
      <w:r w:rsidRPr="002D6098">
        <w:t>руб.</w:t>
      </w:r>
    </w:p>
    <w:p w:rsidR="00BE0376" w:rsidRPr="003A25AD" w:rsidRDefault="00BE0376" w:rsidP="00BE0376">
      <w:pPr>
        <w:ind w:firstLine="709"/>
        <w:jc w:val="both"/>
      </w:pPr>
      <w:r w:rsidRPr="003A25AD">
        <w:t>Показатели увеличения прогнозируемых собственных доходов обоснованы главными администраторами доходов бюджета Сосновоборского городского округа.</w:t>
      </w:r>
    </w:p>
    <w:p w:rsidR="00BE0376" w:rsidRPr="00C04CDF" w:rsidRDefault="00BE0376" w:rsidP="00BE0376">
      <w:pPr>
        <w:ind w:firstLine="709"/>
        <w:jc w:val="both"/>
      </w:pPr>
      <w:r w:rsidRPr="00783197">
        <w:t xml:space="preserve">Проектом решения предлагается на 2024 год </w:t>
      </w:r>
      <w:r>
        <w:t>увеличить</w:t>
      </w:r>
      <w:r w:rsidRPr="00783197">
        <w:t xml:space="preserve"> плановые назначения по НДФЛ (основной источник собственных доходов)</w:t>
      </w:r>
      <w:r>
        <w:t>, утвердив их</w:t>
      </w:r>
      <w:r w:rsidRPr="00783197">
        <w:t xml:space="preserve"> в сумме </w:t>
      </w:r>
      <w:r>
        <w:t>1 499 579,76</w:t>
      </w:r>
      <w:r w:rsidRPr="00B850D8">
        <w:t xml:space="preserve"> </w:t>
      </w:r>
      <w:r w:rsidRPr="00783197">
        <w:t>тыс. руб.,</w:t>
      </w:r>
      <w:r w:rsidRPr="009C4474">
        <w:rPr>
          <w:color w:val="FF0000"/>
        </w:rPr>
        <w:t xml:space="preserve"> </w:t>
      </w:r>
      <w:r w:rsidRPr="002360D5">
        <w:t>увеличив его на 132 906,2 тыс. руб</w:t>
      </w:r>
      <w:r w:rsidRPr="00C04CDF">
        <w:t>. Расчёт произведён на основании прогноза поступления доходов на 2024 год, представленного главным администратором доходов -  УФНС России по Ленинградской области.</w:t>
      </w:r>
    </w:p>
    <w:p w:rsidR="00BE0376" w:rsidRPr="00C04CDF" w:rsidRDefault="00BE0376" w:rsidP="00BE0376">
      <w:pPr>
        <w:jc w:val="center"/>
      </w:pPr>
    </w:p>
    <w:p w:rsidR="00BE0376" w:rsidRDefault="00BE0376" w:rsidP="00BE0376">
      <w:pPr>
        <w:numPr>
          <w:ilvl w:val="0"/>
          <w:numId w:val="7"/>
        </w:numPr>
        <w:jc w:val="center"/>
        <w:rPr>
          <w:b/>
        </w:rPr>
      </w:pPr>
      <w:r w:rsidRPr="00E8652E">
        <w:rPr>
          <w:b/>
        </w:rPr>
        <w:t>Расходы бюджета Сосновоборского городского округа</w:t>
      </w:r>
      <w:r>
        <w:rPr>
          <w:b/>
        </w:rPr>
        <w:t>.</w:t>
      </w:r>
    </w:p>
    <w:p w:rsidR="00BE0376" w:rsidRPr="00E8652E" w:rsidRDefault="00BE0376" w:rsidP="00BE0376">
      <w:pPr>
        <w:rPr>
          <w:b/>
        </w:rPr>
      </w:pPr>
    </w:p>
    <w:p w:rsidR="00BE0376" w:rsidRPr="00E8652E" w:rsidRDefault="00BE0376" w:rsidP="00BE0376">
      <w:pPr>
        <w:ind w:firstLine="709"/>
        <w:jc w:val="both"/>
      </w:pPr>
      <w:r w:rsidRPr="00E8652E">
        <w:t xml:space="preserve">Согласно проекту решения СД СГО расходы планируются в сумме </w:t>
      </w:r>
      <w:r w:rsidRPr="00E8652E">
        <w:rPr>
          <w:b/>
        </w:rPr>
        <w:t>4 384 704,60871</w:t>
      </w:r>
      <w:r w:rsidRPr="00E8652E">
        <w:rPr>
          <w:bCs/>
        </w:rPr>
        <w:t xml:space="preserve"> </w:t>
      </w:r>
      <w:r w:rsidRPr="00E8652E">
        <w:t>тыс. руб.</w:t>
      </w:r>
      <w:r w:rsidRPr="00E8652E">
        <w:rPr>
          <w:bCs/>
          <w:spacing w:val="-5"/>
        </w:rPr>
        <w:t>, увеличение составило 108 136,35367</w:t>
      </w:r>
      <w:r w:rsidRPr="00E8652E">
        <w:rPr>
          <w:bCs/>
        </w:rPr>
        <w:t xml:space="preserve"> </w:t>
      </w:r>
      <w:r w:rsidRPr="00E8652E">
        <w:t>тыс. руб.,</w:t>
      </w:r>
      <w:r w:rsidRPr="00E8652E">
        <w:rPr>
          <w:b/>
        </w:rPr>
        <w:t xml:space="preserve"> </w:t>
      </w:r>
      <w:r w:rsidRPr="00E8652E">
        <w:t xml:space="preserve">в том числе: </w:t>
      </w:r>
    </w:p>
    <w:p w:rsidR="00BE0376" w:rsidRPr="00E8652E" w:rsidRDefault="00BE0376" w:rsidP="00BE0376">
      <w:pPr>
        <w:ind w:firstLine="709"/>
        <w:jc w:val="both"/>
      </w:pPr>
      <w:r w:rsidRPr="00E8652E">
        <w:t>- увеличены расходы на 33 </w:t>
      </w:r>
      <w:r>
        <w:t>272</w:t>
      </w:r>
      <w:r w:rsidRPr="00E8652E">
        <w:t xml:space="preserve">,99 тыс. руб. за счет межбюджетных </w:t>
      </w:r>
      <w:r>
        <w:t xml:space="preserve">поступлений </w:t>
      </w:r>
      <w:r w:rsidRPr="00E8652E">
        <w:t>(направление использования безвозмездных поступлений приведено в приложениях № 1</w:t>
      </w:r>
      <w:r>
        <w:t xml:space="preserve"> </w:t>
      </w:r>
      <w:r w:rsidRPr="00E8652E">
        <w:t>к пояснительной записке, представленной к проекту решения СД СГО);</w:t>
      </w:r>
    </w:p>
    <w:p w:rsidR="00BE0376" w:rsidRPr="009C4474" w:rsidRDefault="00BE0376" w:rsidP="00BE0376">
      <w:pPr>
        <w:ind w:firstLine="709"/>
        <w:jc w:val="both"/>
        <w:rPr>
          <w:color w:val="FF0000"/>
        </w:rPr>
      </w:pPr>
      <w:bookmarkStart w:id="5" w:name="_Hlk180160780"/>
      <w:r w:rsidRPr="00CF7AE9">
        <w:t>- у</w:t>
      </w:r>
      <w:r>
        <w:t>меньше</w:t>
      </w:r>
      <w:r w:rsidRPr="00CF7AE9">
        <w:t xml:space="preserve">ны расходы на общую сумму </w:t>
      </w:r>
      <w:r w:rsidRPr="00C1334C">
        <w:t>3 038,39098</w:t>
      </w:r>
      <w:r>
        <w:rPr>
          <w:b/>
          <w:bCs/>
        </w:rPr>
        <w:t xml:space="preserve"> </w:t>
      </w:r>
      <w:r w:rsidRPr="00CF7AE9">
        <w:rPr>
          <w:bCs/>
        </w:rPr>
        <w:t>тыс.</w:t>
      </w:r>
      <w:r w:rsidRPr="00CF7AE9">
        <w:t xml:space="preserve"> руб. (</w:t>
      </w:r>
      <w:r w:rsidRPr="00E8652E">
        <w:t>приложени</w:t>
      </w:r>
      <w:r>
        <w:t>е</w:t>
      </w:r>
      <w:r w:rsidRPr="00E8652E">
        <w:t xml:space="preserve"> № </w:t>
      </w:r>
      <w:r>
        <w:t xml:space="preserve">2 </w:t>
      </w:r>
      <w:r w:rsidRPr="00E8652E">
        <w:t>к пояснительной записке, представленной к проекту решения СД СГО</w:t>
      </w:r>
      <w:r>
        <w:t>);</w:t>
      </w:r>
    </w:p>
    <w:p w:rsidR="00BE0376" w:rsidRPr="009C4474" w:rsidRDefault="00BE0376" w:rsidP="00BE0376">
      <w:pPr>
        <w:ind w:firstLine="708"/>
        <w:jc w:val="both"/>
        <w:rPr>
          <w:color w:val="FF0000"/>
        </w:rPr>
      </w:pPr>
      <w:r w:rsidRPr="00CF7AE9">
        <w:t xml:space="preserve">- увеличены расходы на общую сумму </w:t>
      </w:r>
      <w:r w:rsidRPr="00C1334C">
        <w:t>77 901,75465</w:t>
      </w:r>
      <w:r>
        <w:rPr>
          <w:b/>
          <w:bCs/>
        </w:rPr>
        <w:t xml:space="preserve"> </w:t>
      </w:r>
      <w:r w:rsidRPr="00CF7AE9">
        <w:rPr>
          <w:bCs/>
        </w:rPr>
        <w:t>тыс.</w:t>
      </w:r>
      <w:r w:rsidRPr="00CF7AE9">
        <w:t xml:space="preserve"> руб. (</w:t>
      </w:r>
      <w:r w:rsidRPr="00E8652E">
        <w:t>приложени</w:t>
      </w:r>
      <w:r>
        <w:t>е</w:t>
      </w:r>
      <w:r w:rsidRPr="00E8652E">
        <w:t xml:space="preserve"> № </w:t>
      </w:r>
      <w:r>
        <w:t xml:space="preserve">3 </w:t>
      </w:r>
      <w:r w:rsidRPr="00E8652E">
        <w:t>к пояснительной записке, представленной к проекту решения СД СГО</w:t>
      </w:r>
      <w:r>
        <w:t>);</w:t>
      </w:r>
    </w:p>
    <w:bookmarkEnd w:id="5"/>
    <w:p w:rsidR="00BE0376" w:rsidRPr="00CF7AE9" w:rsidRDefault="00BE0376" w:rsidP="00BE0376">
      <w:pPr>
        <w:ind w:firstLine="709"/>
        <w:jc w:val="both"/>
      </w:pPr>
      <w:r w:rsidRPr="00CF7AE9">
        <w:t>Произведено перераспределение расходов в 2024 году на сумму 30 040,65454 тыс. руб., в 2025-2026 годах на сумму 136 636,14686 тыс. руб. (</w:t>
      </w:r>
      <w:r>
        <w:t xml:space="preserve">перераспределение </w:t>
      </w:r>
      <w:r w:rsidRPr="00CF7AE9">
        <w:t xml:space="preserve">отражено </w:t>
      </w:r>
      <w:r>
        <w:t xml:space="preserve">соответственно </w:t>
      </w:r>
      <w:r w:rsidRPr="00CF7AE9">
        <w:t>в приложени</w:t>
      </w:r>
      <w:r>
        <w:t>ях</w:t>
      </w:r>
      <w:r w:rsidRPr="00CF7AE9">
        <w:t xml:space="preserve"> № 4</w:t>
      </w:r>
      <w:r>
        <w:t xml:space="preserve"> и № 5</w:t>
      </w:r>
      <w:r w:rsidRPr="00CF7AE9">
        <w:t xml:space="preserve"> к пояснительной записке, представленной к проекту решения СД СГО).</w:t>
      </w:r>
    </w:p>
    <w:p w:rsidR="00BE0376" w:rsidRPr="00444D4D" w:rsidRDefault="00BE0376" w:rsidP="00BE0376">
      <w:pPr>
        <w:ind w:firstLine="709"/>
        <w:jc w:val="both"/>
      </w:pPr>
      <w:r w:rsidRPr="00444D4D">
        <w:t xml:space="preserve">Анализ данных пояснительной записки свидетельствует, что увеличение ассигнований </w:t>
      </w:r>
      <w:r>
        <w:t>и</w:t>
      </w:r>
      <w:r w:rsidRPr="00444D4D">
        <w:t xml:space="preserve"> перераспределение расходов произведено в соответствии с полномочиями городского округа. </w:t>
      </w:r>
    </w:p>
    <w:p w:rsidR="00BE0376" w:rsidRPr="00444D4D" w:rsidRDefault="00BE0376" w:rsidP="00BE0376">
      <w:pPr>
        <w:ind w:firstLine="709"/>
        <w:jc w:val="both"/>
        <w:rPr>
          <w:b/>
        </w:rPr>
      </w:pPr>
    </w:p>
    <w:p w:rsidR="00BE0376" w:rsidRDefault="00BE0376" w:rsidP="00BE0376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8858E3">
        <w:rPr>
          <w:b/>
        </w:rPr>
        <w:t>Дефицит бюджета Сосновоборского городского округа.</w:t>
      </w:r>
    </w:p>
    <w:p w:rsidR="00BE0376" w:rsidRPr="008858E3" w:rsidRDefault="00BE0376" w:rsidP="00BE0376">
      <w:pPr>
        <w:pStyle w:val="a8"/>
        <w:spacing w:before="0" w:beforeAutospacing="0" w:after="0" w:afterAutospacing="0"/>
        <w:rPr>
          <w:b/>
        </w:rPr>
      </w:pPr>
    </w:p>
    <w:p w:rsidR="00BE0376" w:rsidRPr="00D05923" w:rsidRDefault="00BE0376" w:rsidP="00BE0376">
      <w:pPr>
        <w:ind w:firstLine="709"/>
        <w:jc w:val="both"/>
      </w:pPr>
      <w:r w:rsidRPr="00D05923">
        <w:t>Согласно проекту решения дефицит предлагается утвердить в сумме</w:t>
      </w:r>
      <w:r w:rsidRPr="00D05923">
        <w:rPr>
          <w:b/>
          <w:bCs/>
        </w:rPr>
        <w:t xml:space="preserve"> 249 997,44159</w:t>
      </w:r>
      <w:r w:rsidRPr="00D05923">
        <w:rPr>
          <w:bCs/>
        </w:rPr>
        <w:t xml:space="preserve"> </w:t>
      </w:r>
      <w:r w:rsidRPr="00D05923">
        <w:t>тыс. руб., уменьшив его на сумму 130 748,14006 тыс. руб.</w:t>
      </w:r>
    </w:p>
    <w:p w:rsidR="00BE0376" w:rsidRPr="00D05923" w:rsidRDefault="00BE0376" w:rsidP="00BE0376">
      <w:pPr>
        <w:ind w:firstLine="709"/>
        <w:jc w:val="both"/>
      </w:pPr>
      <w:r w:rsidRPr="00D05923">
        <w:t>В качестве источников внутреннего финансирования дефицита бюджета СГО предусмотрены:</w:t>
      </w:r>
    </w:p>
    <w:p w:rsidR="00BE0376" w:rsidRPr="00D02198" w:rsidRDefault="00BE0376" w:rsidP="00BE0376">
      <w:pPr>
        <w:ind w:firstLine="709"/>
        <w:jc w:val="both"/>
      </w:pPr>
      <w:r w:rsidRPr="00D02198">
        <w:t>1. Изменени</w:t>
      </w:r>
      <w:r>
        <w:t>е</w:t>
      </w:r>
      <w:r w:rsidRPr="00D02198">
        <w:t xml:space="preserve"> остатков средств на счетах по учету средств бюджета в сумме                          </w:t>
      </w:r>
      <w:r>
        <w:t>249 997,44159</w:t>
      </w:r>
      <w:r w:rsidRPr="00D02198">
        <w:t xml:space="preserve"> тыс. руб.</w:t>
      </w:r>
    </w:p>
    <w:p w:rsidR="00BE0376" w:rsidRPr="00113A0F" w:rsidRDefault="00BE0376" w:rsidP="00BE0376">
      <w:pPr>
        <w:ind w:firstLine="709"/>
        <w:jc w:val="both"/>
      </w:pPr>
      <w:bookmarkStart w:id="6" w:name="_Hlk180073845"/>
      <w:r>
        <w:t>2</w:t>
      </w:r>
      <w:r w:rsidRPr="006C62A7">
        <w:t xml:space="preserve">. Привлечение кредитов от кредитных организаций в валюте Российской Федерации </w:t>
      </w:r>
      <w:r>
        <w:t>в 2024-2026 годах не планируется</w:t>
      </w:r>
      <w:r w:rsidRPr="006C62A7">
        <w:t>.</w:t>
      </w:r>
    </w:p>
    <w:bookmarkEnd w:id="6"/>
    <w:p w:rsidR="00BE0376" w:rsidRDefault="00BE0376" w:rsidP="00BE0376">
      <w:pPr>
        <w:ind w:firstLine="709"/>
        <w:jc w:val="both"/>
      </w:pPr>
      <w:r>
        <w:lastRenderedPageBreak/>
        <w:t>3</w:t>
      </w:r>
      <w:r w:rsidRPr="006C62A7">
        <w:t>.</w:t>
      </w:r>
      <w:r>
        <w:t xml:space="preserve"> В 2024 году запланировано</w:t>
      </w:r>
      <w:r w:rsidRPr="006C62A7">
        <w:t xml:space="preserve"> </w:t>
      </w:r>
      <w:r>
        <w:t>п</w:t>
      </w:r>
      <w:r w:rsidRPr="006C62A7">
        <w:t>ривлечение</w:t>
      </w:r>
      <w:r>
        <w:t>/погашение</w:t>
      </w:r>
      <w:r w:rsidRPr="006C62A7">
        <w:t xml:space="preserve"> кредитов </w:t>
      </w:r>
      <w:r>
        <w:t>из других бюджетов в</w:t>
      </w:r>
      <w:r w:rsidRPr="006C62A7">
        <w:t xml:space="preserve"> валюте Российской Федерации </w:t>
      </w:r>
      <w:r>
        <w:t>в сумме 150 000,00 тыс. руб.</w:t>
      </w:r>
    </w:p>
    <w:p w:rsidR="00BE0376" w:rsidRPr="00CF7AE9" w:rsidRDefault="00BE0376" w:rsidP="00BE0376">
      <w:pPr>
        <w:ind w:firstLine="709"/>
        <w:jc w:val="both"/>
      </w:pPr>
      <w:r>
        <w:t>Информация о привлечении кредитов в 2024-2026 годах отражена в Программе муниципальных внутренних заимствований (</w:t>
      </w:r>
      <w:r w:rsidRPr="00CF7AE9">
        <w:t>приложени</w:t>
      </w:r>
      <w:r>
        <w:t>я</w:t>
      </w:r>
      <w:r w:rsidRPr="00CF7AE9">
        <w:t xml:space="preserve"> № </w:t>
      </w:r>
      <w:r>
        <w:t xml:space="preserve">13 и № 14 </w:t>
      </w:r>
      <w:r w:rsidRPr="00CF7AE9">
        <w:t>к проекту решения СД СГО).</w:t>
      </w:r>
    </w:p>
    <w:p w:rsidR="00BE0376" w:rsidRDefault="00BE0376" w:rsidP="00BE0376">
      <w:pPr>
        <w:ind w:firstLine="709"/>
        <w:jc w:val="both"/>
      </w:pPr>
    </w:p>
    <w:p w:rsidR="00BE0376" w:rsidRPr="002D6098" w:rsidRDefault="00BE0376" w:rsidP="00BE0376">
      <w:pPr>
        <w:ind w:firstLine="709"/>
        <w:jc w:val="both"/>
        <w:rPr>
          <w:bCs/>
          <w:iCs/>
        </w:rPr>
      </w:pPr>
      <w:r w:rsidRPr="002D6098">
        <w:rPr>
          <w:bCs/>
          <w:iCs/>
        </w:rPr>
        <w:t xml:space="preserve">Показатели бюджета </w:t>
      </w:r>
      <w:r>
        <w:rPr>
          <w:bCs/>
          <w:iCs/>
        </w:rPr>
        <w:t xml:space="preserve">СГО </w:t>
      </w:r>
      <w:r w:rsidRPr="002D6098">
        <w:rPr>
          <w:bCs/>
          <w:iCs/>
        </w:rPr>
        <w:t>на 2024 год с учетом вносимых изменений:</w:t>
      </w:r>
    </w:p>
    <w:p w:rsidR="00BE0376" w:rsidRPr="002D6098" w:rsidRDefault="00BE0376" w:rsidP="00BE0376">
      <w:pPr>
        <w:ind w:right="-1" w:firstLine="709"/>
        <w:jc w:val="right"/>
        <w:rPr>
          <w:bCs/>
          <w:iCs/>
        </w:rPr>
      </w:pPr>
      <w:r w:rsidRPr="002D6098">
        <w:rPr>
          <w:bCs/>
          <w:iCs/>
        </w:rPr>
        <w:t>Тыс. руб.</w:t>
      </w:r>
    </w:p>
    <w:tbl>
      <w:tblPr>
        <w:tblW w:w="9356" w:type="dxa"/>
        <w:tblInd w:w="108" w:type="dxa"/>
        <w:tblLook w:val="0000"/>
      </w:tblPr>
      <w:tblGrid>
        <w:gridCol w:w="2835"/>
        <w:gridCol w:w="2410"/>
        <w:gridCol w:w="1843"/>
        <w:gridCol w:w="2268"/>
      </w:tblGrid>
      <w:tr w:rsidR="00BE0376" w:rsidRPr="002D6098" w:rsidTr="00844940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D05923">
              <w:rPr>
                <w:bCs/>
                <w:sz w:val="20"/>
                <w:szCs w:val="20"/>
              </w:rPr>
              <w:t>Р</w:t>
            </w:r>
            <w:r w:rsidRPr="002D6098">
              <w:rPr>
                <w:bCs/>
                <w:sz w:val="20"/>
                <w:szCs w:val="20"/>
              </w:rPr>
              <w:t>ешение С</w:t>
            </w:r>
            <w:r w:rsidRPr="00D05923">
              <w:rPr>
                <w:bCs/>
                <w:sz w:val="20"/>
                <w:szCs w:val="20"/>
              </w:rPr>
              <w:t>Д СГО</w:t>
            </w:r>
            <w:r w:rsidRPr="002D6098">
              <w:rPr>
                <w:bCs/>
                <w:sz w:val="20"/>
                <w:szCs w:val="20"/>
              </w:rPr>
              <w:t xml:space="preserve"> от 13.12.2023 №166 «О бюджете Сосновоборского городского округа на 2024 год и на плановый период 2025 и 2026 годов» (с изменениями)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 xml:space="preserve">Изменения в </w:t>
            </w:r>
            <w:r w:rsidRPr="002D6098">
              <w:rPr>
                <w:b/>
                <w:sz w:val="20"/>
                <w:szCs w:val="20"/>
              </w:rPr>
              <w:t>2024 году</w:t>
            </w:r>
          </w:p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 xml:space="preserve">Проект решения </w:t>
            </w:r>
            <w:r>
              <w:rPr>
                <w:sz w:val="20"/>
                <w:szCs w:val="20"/>
              </w:rPr>
              <w:t xml:space="preserve">СД СГО </w:t>
            </w:r>
            <w:r w:rsidRPr="002D6098">
              <w:rPr>
                <w:sz w:val="20"/>
                <w:szCs w:val="20"/>
              </w:rPr>
              <w:t>с изменениями</w:t>
            </w:r>
          </w:p>
          <w:p w:rsidR="00BE0376" w:rsidRPr="002D6098" w:rsidRDefault="00BE0376" w:rsidP="00844940">
            <w:pPr>
              <w:jc w:val="center"/>
              <w:rPr>
                <w:b/>
                <w:sz w:val="20"/>
                <w:szCs w:val="20"/>
              </w:rPr>
            </w:pPr>
            <w:r w:rsidRPr="002D6098">
              <w:rPr>
                <w:b/>
                <w:sz w:val="20"/>
                <w:szCs w:val="20"/>
              </w:rPr>
              <w:t>2024 года</w:t>
            </w:r>
          </w:p>
        </w:tc>
      </w:tr>
      <w:tr w:rsidR="00BE0376" w:rsidRPr="002D6098" w:rsidTr="0084494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ДОХОДЫ</w:t>
            </w:r>
          </w:p>
          <w:p w:rsidR="00BE0376" w:rsidRPr="002D6098" w:rsidRDefault="00BE0376" w:rsidP="00844940">
            <w:pPr>
              <w:rPr>
                <w:bCs/>
                <w:sz w:val="20"/>
                <w:szCs w:val="20"/>
              </w:rPr>
            </w:pPr>
            <w:r w:rsidRPr="002D6098">
              <w:rPr>
                <w:bCs/>
                <w:sz w:val="20"/>
                <w:szCs w:val="20"/>
              </w:rPr>
              <w:t xml:space="preserve"> бюджета Сосновоборского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b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3 895 822,67339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+238 884,49373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4 134 707,16712</w:t>
            </w:r>
          </w:p>
        </w:tc>
      </w:tr>
      <w:tr w:rsidR="00BE0376" w:rsidRPr="002D6098" w:rsidTr="00844940">
        <w:trPr>
          <w:trHeight w:val="7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в том числе:</w:t>
            </w:r>
          </w:p>
          <w:p w:rsidR="00BE0376" w:rsidRPr="002D6098" w:rsidRDefault="00BE0376" w:rsidP="00844940">
            <w:pPr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Налоговые и неналоговые (собственные)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bCs/>
                <w:sz w:val="20"/>
                <w:szCs w:val="20"/>
              </w:rPr>
            </w:pPr>
            <w:r w:rsidRPr="002D6098">
              <w:rPr>
                <w:bCs/>
                <w:sz w:val="20"/>
                <w:szCs w:val="20"/>
              </w:rPr>
              <w:t>2 179 962,57838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+205 611,50373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bCs/>
                <w:sz w:val="20"/>
                <w:szCs w:val="20"/>
              </w:rPr>
            </w:pPr>
            <w:r w:rsidRPr="002D6098">
              <w:rPr>
                <w:bCs/>
                <w:sz w:val="20"/>
                <w:szCs w:val="20"/>
              </w:rPr>
              <w:t>2 385 574,08211</w:t>
            </w:r>
          </w:p>
        </w:tc>
      </w:tr>
      <w:tr w:rsidR="00BE0376" w:rsidRPr="002D6098" w:rsidTr="00844940">
        <w:trPr>
          <w:trHeight w:val="1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Default="00BE0376" w:rsidP="00844940">
            <w:pPr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Безвозмездные поступления</w:t>
            </w:r>
          </w:p>
          <w:p w:rsidR="00BE0376" w:rsidRPr="002D6098" w:rsidRDefault="00BE0376" w:rsidP="00844940">
            <w:pPr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1 715 860,09501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color w:val="FF0000"/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+33 272,99000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color w:val="FF0000"/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1 749 133,08501</w:t>
            </w:r>
          </w:p>
        </w:tc>
      </w:tr>
      <w:tr w:rsidR="00BE0376" w:rsidRPr="002D6098" w:rsidTr="0084494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РАСХОДЫ</w:t>
            </w:r>
          </w:p>
          <w:p w:rsidR="00BE0376" w:rsidRPr="002D6098" w:rsidRDefault="00BE0376" w:rsidP="00844940">
            <w:pPr>
              <w:rPr>
                <w:bCs/>
                <w:sz w:val="20"/>
                <w:szCs w:val="20"/>
              </w:rPr>
            </w:pPr>
            <w:r w:rsidRPr="002D6098">
              <w:rPr>
                <w:bCs/>
                <w:sz w:val="20"/>
                <w:szCs w:val="20"/>
              </w:rPr>
              <w:t>бюджета Сосновоборского 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376" w:rsidRPr="002D6098" w:rsidRDefault="00BE0376" w:rsidP="00844940">
            <w:pPr>
              <w:jc w:val="center"/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4 276 568,25504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376" w:rsidRPr="002D6098" w:rsidRDefault="00BE0376" w:rsidP="00844940">
            <w:pPr>
              <w:jc w:val="center"/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+108 136,35367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376" w:rsidRPr="002D6098" w:rsidRDefault="00BE0376" w:rsidP="0084494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4 384 704,60871</w:t>
            </w:r>
          </w:p>
        </w:tc>
      </w:tr>
      <w:tr w:rsidR="00BE0376" w:rsidRPr="002D6098" w:rsidTr="0084494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rPr>
                <w:bCs/>
                <w:sz w:val="20"/>
                <w:szCs w:val="20"/>
              </w:rPr>
            </w:pPr>
            <w:r w:rsidRPr="002D6098">
              <w:rPr>
                <w:bCs/>
                <w:sz w:val="20"/>
                <w:szCs w:val="20"/>
              </w:rPr>
              <w:t>в том числе</w:t>
            </w:r>
          </w:p>
          <w:p w:rsidR="00BE0376" w:rsidRPr="002D6098" w:rsidRDefault="00BE0376" w:rsidP="00844940">
            <w:pPr>
              <w:rPr>
                <w:bCs/>
                <w:sz w:val="20"/>
                <w:szCs w:val="20"/>
              </w:rPr>
            </w:pPr>
            <w:r w:rsidRPr="002D6098">
              <w:rPr>
                <w:bCs/>
                <w:sz w:val="20"/>
                <w:szCs w:val="20"/>
              </w:rPr>
              <w:t>Расходы за счет безвозмездных поступлений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1 715 860,09501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color w:val="FF0000"/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+33 272,99000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376" w:rsidRPr="002D6098" w:rsidRDefault="00BE0376" w:rsidP="00844940">
            <w:pPr>
              <w:jc w:val="center"/>
              <w:rPr>
                <w:color w:val="FF0000"/>
                <w:sz w:val="20"/>
                <w:szCs w:val="20"/>
              </w:rPr>
            </w:pPr>
            <w:r w:rsidRPr="002D6098">
              <w:rPr>
                <w:sz w:val="20"/>
                <w:szCs w:val="20"/>
              </w:rPr>
              <w:t>1 749 133,08501</w:t>
            </w:r>
          </w:p>
        </w:tc>
      </w:tr>
      <w:tr w:rsidR="00BE0376" w:rsidRPr="002D6098" w:rsidTr="00844940">
        <w:trPr>
          <w:trHeight w:val="2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76" w:rsidRPr="002D6098" w:rsidRDefault="00BE0376" w:rsidP="00844940">
            <w:pPr>
              <w:rPr>
                <w:b/>
                <w:bCs/>
                <w:sz w:val="20"/>
                <w:szCs w:val="20"/>
              </w:rPr>
            </w:pPr>
            <w:r w:rsidRPr="002D6098">
              <w:rPr>
                <w:b/>
                <w:bCs/>
                <w:sz w:val="20"/>
                <w:szCs w:val="20"/>
              </w:rPr>
              <w:t>ДЕФИЦИТ (-), ПРОФИЦИТ (+)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376" w:rsidRPr="002D6098" w:rsidRDefault="00BE0376" w:rsidP="0084494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D6098">
              <w:rPr>
                <w:b/>
                <w:bCs/>
                <w:sz w:val="20"/>
                <w:szCs w:val="20"/>
              </w:rPr>
              <w:t>-380 745,58165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376" w:rsidRPr="002D6098" w:rsidRDefault="00BE0376" w:rsidP="0084494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D6098">
              <w:rPr>
                <w:b/>
                <w:bCs/>
                <w:sz w:val="20"/>
                <w:szCs w:val="20"/>
              </w:rPr>
              <w:t>+130 748,14006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376" w:rsidRPr="002D6098" w:rsidRDefault="00BE0376" w:rsidP="00844940">
            <w:pPr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2D6098">
              <w:rPr>
                <w:bCs/>
                <w:sz w:val="20"/>
                <w:szCs w:val="20"/>
              </w:rPr>
              <w:t>-</w:t>
            </w:r>
            <w:r w:rsidRPr="002D6098">
              <w:rPr>
                <w:b/>
                <w:bCs/>
                <w:sz w:val="20"/>
                <w:szCs w:val="20"/>
              </w:rPr>
              <w:t>249 997,44159</w:t>
            </w:r>
          </w:p>
        </w:tc>
      </w:tr>
    </w:tbl>
    <w:p w:rsidR="00BE0376" w:rsidRPr="009C4474" w:rsidRDefault="00BE0376" w:rsidP="00BE0376">
      <w:pPr>
        <w:autoSpaceDE w:val="0"/>
        <w:autoSpaceDN w:val="0"/>
        <w:adjustRightInd w:val="0"/>
        <w:ind w:firstLine="709"/>
        <w:jc w:val="both"/>
        <w:rPr>
          <w:color w:val="FF0000"/>
          <w:lang w:val="en-US"/>
        </w:rPr>
      </w:pPr>
    </w:p>
    <w:p w:rsidR="00BE0376" w:rsidRPr="00546174" w:rsidRDefault="00BE0376" w:rsidP="00BE0376">
      <w:pPr>
        <w:autoSpaceDE w:val="0"/>
        <w:autoSpaceDN w:val="0"/>
        <w:adjustRightInd w:val="0"/>
        <w:ind w:firstLine="709"/>
        <w:jc w:val="both"/>
      </w:pPr>
      <w:r w:rsidRPr="00546174">
        <w:t xml:space="preserve">В соответствии со статьей 92.1. Бюджетного кодекса РФ, размер дефицита местного бюджета не должен превышать 10% объема доходов местного бюджета без учета утвержденного объема безвозмездных поступлений из других бюджетов бюджетной системы Российской Федерации и (или) поступлений налоговых доходов по дополнительным нормативам отчислений и может превысить ограничения, установленные настоящим пунктом, в пределах суммы снижения остатков средств на счетах по учету средств местного бюджета. </w:t>
      </w:r>
    </w:p>
    <w:p w:rsidR="00BE0376" w:rsidRDefault="00BE0376" w:rsidP="00BE0376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абзацем третьим пункта 3 </w:t>
      </w:r>
      <w:r w:rsidRPr="00DD000D">
        <w:t>ст</w:t>
      </w:r>
      <w:r>
        <w:t xml:space="preserve">атьи </w:t>
      </w:r>
      <w:r w:rsidRPr="009E1BBA">
        <w:t>92.1.</w:t>
      </w:r>
      <w:r w:rsidRPr="00DD000D">
        <w:t xml:space="preserve"> Б</w:t>
      </w:r>
      <w:r>
        <w:t>юджетного кодекса</w:t>
      </w:r>
      <w:r w:rsidRPr="00DD000D">
        <w:t xml:space="preserve"> РФ </w:t>
      </w:r>
      <w:r>
        <w:t xml:space="preserve">в </w:t>
      </w:r>
      <w:r w:rsidRPr="007B4D52">
        <w:t>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снижения остатков средств на счетах по учету средств местного бюджета.</w:t>
      </w:r>
    </w:p>
    <w:p w:rsidR="00BE0376" w:rsidRDefault="00BE0376" w:rsidP="00BE0376">
      <w:pPr>
        <w:autoSpaceDE w:val="0"/>
        <w:autoSpaceDN w:val="0"/>
        <w:adjustRightInd w:val="0"/>
        <w:ind w:firstLine="708"/>
        <w:jc w:val="both"/>
      </w:pPr>
      <w:r>
        <w:t>В соответствии с письмом Минфина России от 27.04.2023 N 02-16-06/38971</w:t>
      </w:r>
      <w:r w:rsidRPr="007B4D52">
        <w:t xml:space="preserve"> </w:t>
      </w:r>
      <w:r>
        <w:t xml:space="preserve">«О размере превышения ограничений дефицита местного бюджета» размер превышения ограничений дефицита местного бюджета, установленных </w:t>
      </w:r>
      <w:hyperlink r:id="rId8" w:history="1">
        <w:r w:rsidRPr="007B4D52">
          <w:t>абзац</w:t>
        </w:r>
        <w:r>
          <w:t>ем</w:t>
        </w:r>
        <w:r w:rsidRPr="007B4D52">
          <w:t xml:space="preserve"> первым</w:t>
        </w:r>
      </w:hyperlink>
      <w:hyperlink r:id="rId9" w:history="1">
        <w:r w:rsidRPr="007B4D52">
          <w:t xml:space="preserve"> пункта 3 статьи 92.1</w:t>
        </w:r>
      </w:hyperlink>
      <w:r w:rsidRPr="007B4D52">
        <w:t xml:space="preserve"> Бюджетного кодекса, </w:t>
      </w:r>
      <w:r>
        <w:t xml:space="preserve">не </w:t>
      </w:r>
      <w:r w:rsidRPr="007B4D52">
        <w:t>должен</w:t>
      </w:r>
      <w:r>
        <w:t xml:space="preserve"> </w:t>
      </w:r>
      <w:r w:rsidRPr="007B4D52">
        <w:t xml:space="preserve">превышать объем </w:t>
      </w:r>
      <w:r>
        <w:t>снижения остатков средств на счетах по учету средств местного бюджета.</w:t>
      </w:r>
    </w:p>
    <w:p w:rsidR="00BE0376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376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376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376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376" w:rsidRPr="00937049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049">
        <w:rPr>
          <w:rFonts w:ascii="Times New Roman" w:hAnsi="Times New Roman" w:cs="Times New Roman"/>
          <w:sz w:val="24"/>
          <w:szCs w:val="24"/>
        </w:rPr>
        <w:lastRenderedPageBreak/>
        <w:t xml:space="preserve">Расчет размера дефицита </w:t>
      </w:r>
      <w:r>
        <w:rPr>
          <w:rFonts w:ascii="Times New Roman" w:hAnsi="Times New Roman" w:cs="Times New Roman"/>
          <w:sz w:val="24"/>
          <w:szCs w:val="24"/>
        </w:rPr>
        <w:t>местного бюджета:</w:t>
      </w:r>
    </w:p>
    <w:p w:rsidR="00BE0376" w:rsidRPr="00937049" w:rsidRDefault="00BE0376" w:rsidP="00BE0376">
      <w:pPr>
        <w:pStyle w:val="ConsPlusNormal"/>
        <w:widowControl/>
        <w:ind w:right="-142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37049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50"/>
        <w:gridCol w:w="851"/>
        <w:gridCol w:w="814"/>
        <w:gridCol w:w="722"/>
        <w:gridCol w:w="10"/>
        <w:gridCol w:w="1289"/>
        <w:gridCol w:w="1003"/>
        <w:gridCol w:w="735"/>
        <w:gridCol w:w="849"/>
        <w:gridCol w:w="650"/>
        <w:gridCol w:w="10"/>
        <w:gridCol w:w="841"/>
        <w:gridCol w:w="10"/>
      </w:tblGrid>
      <w:tr w:rsidR="00BE0376" w:rsidRPr="00937049" w:rsidTr="00844940">
        <w:trPr>
          <w:gridAfter w:val="1"/>
          <w:wAfter w:w="10" w:type="dxa"/>
        </w:trPr>
        <w:tc>
          <w:tcPr>
            <w:tcW w:w="851" w:type="dxa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Доходы бюджета всего</w:t>
            </w:r>
          </w:p>
        </w:tc>
        <w:tc>
          <w:tcPr>
            <w:tcW w:w="850" w:type="dxa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right="-86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Безвозмездные поступления из других бюджетов</w:t>
            </w:r>
          </w:p>
        </w:tc>
        <w:tc>
          <w:tcPr>
            <w:tcW w:w="2397" w:type="dxa"/>
            <w:gridSpan w:val="4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</w:t>
            </w:r>
            <w:r w:rsidRPr="00937049">
              <w:rPr>
                <w:rFonts w:ascii="Times New Roman" w:hAnsi="Times New Roman" w:cs="Times New Roman"/>
              </w:rPr>
              <w:t>без учета утвержденного объема безвозмездных поступлений из других бюджетов бюджетной системы РФ</w:t>
            </w:r>
          </w:p>
        </w:tc>
        <w:tc>
          <w:tcPr>
            <w:tcW w:w="1289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Доходы без учета утвержденного объема безвозмездных поступлений из других бюджетов бюджетной системы РФ и поступлений налоговых доходов по дополнительным нормативам отчислений</w:t>
            </w:r>
          </w:p>
          <w:p w:rsidR="00BE0376" w:rsidRPr="00937049" w:rsidRDefault="00BE0376" w:rsidP="00844940">
            <w:pPr>
              <w:pStyle w:val="ConsPlusNormal"/>
              <w:widowControl/>
              <w:ind w:right="-142" w:firstLine="0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(гр.1-гр.2-гр5)</w:t>
            </w:r>
          </w:p>
        </w:tc>
        <w:tc>
          <w:tcPr>
            <w:tcW w:w="1738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right="52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Остатки средств бюджета на 01.01.2024</w:t>
            </w:r>
          </w:p>
        </w:tc>
        <w:tc>
          <w:tcPr>
            <w:tcW w:w="1499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 xml:space="preserve">Размер планируемого  дефицита  </w:t>
            </w:r>
          </w:p>
          <w:p w:rsidR="00BE0376" w:rsidRPr="00937049" w:rsidRDefault="00BE0376" w:rsidP="00844940">
            <w:pPr>
              <w:pStyle w:val="ConsPlusNormal"/>
              <w:widowControl/>
              <w:tabs>
                <w:tab w:val="left" w:pos="565"/>
              </w:tabs>
              <w:ind w:right="-108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 xml:space="preserve">Размер дефицита за счет остатков собственных средств на начало года </w:t>
            </w:r>
          </w:p>
        </w:tc>
      </w:tr>
      <w:tr w:rsidR="00BE0376" w:rsidRPr="00937049" w:rsidTr="00844940">
        <w:tc>
          <w:tcPr>
            <w:tcW w:w="851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36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99" w:type="dxa"/>
            <w:gridSpan w:val="2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  <w:p w:rsidR="00BE0376" w:rsidRPr="00937049" w:rsidRDefault="00BE0376" w:rsidP="008449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(с учетом дотаций)</w:t>
            </w:r>
          </w:p>
        </w:tc>
        <w:tc>
          <w:tcPr>
            <w:tcW w:w="735" w:type="dxa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49" w:type="dxa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660" w:type="dxa"/>
            <w:gridSpan w:val="2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tabs>
                <w:tab w:val="left" w:pos="565"/>
              </w:tabs>
              <w:ind w:right="-108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%</w:t>
            </w:r>
          </w:p>
          <w:p w:rsidR="00BE0376" w:rsidRPr="00937049" w:rsidRDefault="00BE0376" w:rsidP="00844940">
            <w:pPr>
              <w:pStyle w:val="ConsPlusNormal"/>
              <w:widowControl/>
              <w:tabs>
                <w:tab w:val="left" w:pos="565"/>
              </w:tabs>
              <w:ind w:right="-108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(гр.9/гр6*</w:t>
            </w:r>
          </w:p>
          <w:p w:rsidR="00BE0376" w:rsidRPr="00937049" w:rsidRDefault="00BE0376" w:rsidP="00844940">
            <w:pPr>
              <w:pStyle w:val="ConsPlusNormal"/>
              <w:widowControl/>
              <w:tabs>
                <w:tab w:val="left" w:pos="565"/>
              </w:tabs>
              <w:ind w:right="-108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100%)</w:t>
            </w:r>
          </w:p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0376" w:rsidRPr="00937049" w:rsidTr="00844940">
        <w:tc>
          <w:tcPr>
            <w:tcW w:w="851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BE0376" w:rsidRPr="00937049" w:rsidRDefault="00BE0376" w:rsidP="00844940">
            <w:pPr>
              <w:pStyle w:val="ConsPlusNormal"/>
              <w:widowControl/>
              <w:ind w:left="-102" w:right="-142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 xml:space="preserve">По нормативу </w:t>
            </w:r>
          </w:p>
        </w:tc>
        <w:tc>
          <w:tcPr>
            <w:tcW w:w="722" w:type="dxa"/>
          </w:tcPr>
          <w:p w:rsidR="00BE0376" w:rsidRPr="00937049" w:rsidRDefault="00BE0376" w:rsidP="00844940">
            <w:pPr>
              <w:pStyle w:val="ConsPlusNormal"/>
              <w:widowControl/>
              <w:ind w:left="-28" w:right="-73" w:firstLine="0"/>
              <w:jc w:val="both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 xml:space="preserve">По доп. нормативу </w:t>
            </w:r>
          </w:p>
        </w:tc>
        <w:tc>
          <w:tcPr>
            <w:tcW w:w="1299" w:type="dxa"/>
            <w:gridSpan w:val="2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2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0376" w:rsidRPr="00937049" w:rsidTr="00844940">
        <w:trPr>
          <w:trHeight w:val="93"/>
        </w:trPr>
        <w:tc>
          <w:tcPr>
            <w:tcW w:w="851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BE0376" w:rsidRPr="00937049" w:rsidRDefault="00BE0376" w:rsidP="00844940">
            <w:pPr>
              <w:pStyle w:val="ConsPlusNormal"/>
              <w:widowControl/>
              <w:ind w:left="-51"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4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9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3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0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</w:rPr>
            </w:pPr>
            <w:r w:rsidRPr="00937049">
              <w:rPr>
                <w:rFonts w:ascii="Times New Roman" w:hAnsi="Times New Roman" w:cs="Times New Roman"/>
              </w:rPr>
              <w:t>12</w:t>
            </w:r>
          </w:p>
        </w:tc>
      </w:tr>
      <w:tr w:rsidR="00BE0376" w:rsidRPr="00937049" w:rsidTr="00844940">
        <w:tc>
          <w:tcPr>
            <w:tcW w:w="851" w:type="dxa"/>
          </w:tcPr>
          <w:p w:rsidR="00BE0376" w:rsidRPr="00937049" w:rsidRDefault="00BE0376" w:rsidP="00844940">
            <w:pPr>
              <w:pStyle w:val="ConsPlusNormal"/>
              <w:widowControl/>
              <w:ind w:left="-30" w:right="-142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4134707</w:t>
            </w:r>
          </w:p>
        </w:tc>
        <w:tc>
          <w:tcPr>
            <w:tcW w:w="850" w:type="dxa"/>
          </w:tcPr>
          <w:p w:rsidR="00BE0376" w:rsidRPr="00937049" w:rsidRDefault="00BE0376" w:rsidP="00844940">
            <w:pPr>
              <w:pStyle w:val="ConsPlusNormal"/>
              <w:widowControl/>
              <w:ind w:left="-108"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049">
              <w:rPr>
                <w:rFonts w:ascii="Times New Roman" w:hAnsi="Times New Roman" w:cs="Times New Roman"/>
                <w:b/>
                <w:bCs/>
              </w:rPr>
              <w:t>17</w:t>
            </w:r>
            <w:r>
              <w:rPr>
                <w:rFonts w:ascii="Times New Roman" w:hAnsi="Times New Roman" w:cs="Times New Roman"/>
                <w:b/>
                <w:bCs/>
              </w:rPr>
              <w:t>48913</w:t>
            </w:r>
          </w:p>
        </w:tc>
        <w:tc>
          <w:tcPr>
            <w:tcW w:w="851" w:type="dxa"/>
          </w:tcPr>
          <w:p w:rsidR="00BE0376" w:rsidRPr="00020440" w:rsidRDefault="00BE0376" w:rsidP="00844940">
            <w:pPr>
              <w:pStyle w:val="ConsPlusNormal"/>
              <w:widowControl/>
              <w:ind w:left="-51" w:right="-142"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2385794</w:t>
            </w:r>
          </w:p>
        </w:tc>
        <w:tc>
          <w:tcPr>
            <w:tcW w:w="814" w:type="dxa"/>
          </w:tcPr>
          <w:p w:rsidR="00BE0376" w:rsidRPr="00C31E31" w:rsidRDefault="00BE0376" w:rsidP="00844940">
            <w:pPr>
              <w:pStyle w:val="ConsPlusNormal"/>
              <w:widowControl/>
              <w:ind w:left="-102"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2385794</w:t>
            </w:r>
          </w:p>
        </w:tc>
        <w:tc>
          <w:tcPr>
            <w:tcW w:w="722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99" w:type="dxa"/>
            <w:gridSpan w:val="2"/>
          </w:tcPr>
          <w:p w:rsidR="00BE0376" w:rsidRPr="00C31E31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2385794</w:t>
            </w:r>
          </w:p>
        </w:tc>
        <w:tc>
          <w:tcPr>
            <w:tcW w:w="1003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049">
              <w:rPr>
                <w:rFonts w:ascii="Times New Roman" w:hAnsi="Times New Roman" w:cs="Times New Roman"/>
                <w:b/>
                <w:bCs/>
              </w:rPr>
              <w:t>250836</w:t>
            </w:r>
          </w:p>
        </w:tc>
        <w:tc>
          <w:tcPr>
            <w:tcW w:w="735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49" w:type="dxa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049">
              <w:rPr>
                <w:rFonts w:ascii="Times New Roman" w:hAnsi="Times New Roman" w:cs="Times New Roman"/>
                <w:b/>
                <w:bCs/>
              </w:rPr>
              <w:t>249997</w:t>
            </w:r>
          </w:p>
        </w:tc>
        <w:tc>
          <w:tcPr>
            <w:tcW w:w="660" w:type="dxa"/>
            <w:gridSpan w:val="2"/>
          </w:tcPr>
          <w:p w:rsidR="00BE0376" w:rsidRPr="00937049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10,5</w:t>
            </w:r>
          </w:p>
        </w:tc>
        <w:tc>
          <w:tcPr>
            <w:tcW w:w="851" w:type="dxa"/>
            <w:gridSpan w:val="2"/>
          </w:tcPr>
          <w:p w:rsidR="00BE0376" w:rsidRPr="005F1D0F" w:rsidRDefault="00BE0376" w:rsidP="00844940">
            <w:pPr>
              <w:pStyle w:val="ConsPlusNormal"/>
              <w:widowControl/>
              <w:ind w:right="-142" w:firstLine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249997</w:t>
            </w:r>
          </w:p>
        </w:tc>
      </w:tr>
    </w:tbl>
    <w:p w:rsidR="00BE0376" w:rsidRPr="00A21EF2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376" w:rsidRPr="002868C7" w:rsidRDefault="00BE0376" w:rsidP="00BE0376">
      <w:pPr>
        <w:pStyle w:val="ConsPlusNormal"/>
        <w:widowControl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8C7">
        <w:rPr>
          <w:rFonts w:ascii="Times New Roman" w:hAnsi="Times New Roman" w:cs="Times New Roman"/>
          <w:sz w:val="24"/>
          <w:szCs w:val="24"/>
        </w:rPr>
        <w:t xml:space="preserve">Проектом решения СД СГО дефицит местного бюджета запланирован в размере 249997 тыс. руб., что составляет 10,5% </w:t>
      </w:r>
      <w:r>
        <w:rPr>
          <w:rFonts w:ascii="Times New Roman" w:hAnsi="Times New Roman" w:cs="Times New Roman"/>
          <w:sz w:val="24"/>
          <w:szCs w:val="24"/>
        </w:rPr>
        <w:t>к д</w:t>
      </w:r>
      <w:r w:rsidRPr="002868C7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2868C7">
        <w:rPr>
          <w:rFonts w:ascii="Times New Roman" w:hAnsi="Times New Roman" w:cs="Times New Roman"/>
          <w:sz w:val="24"/>
          <w:szCs w:val="24"/>
        </w:rPr>
        <w:t xml:space="preserve"> без учета утвержденного объема безвозмездных поступлений из других бюджетов бюджетной системы РФ и поступлений налоговых доходов по дополнительным нормативам отчислений.</w:t>
      </w:r>
    </w:p>
    <w:p w:rsidR="00BE0376" w:rsidRDefault="00BE0376" w:rsidP="00BE0376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8C7">
        <w:rPr>
          <w:rFonts w:ascii="Times New Roman" w:hAnsi="Times New Roman" w:cs="Times New Roman"/>
          <w:sz w:val="24"/>
          <w:szCs w:val="24"/>
        </w:rPr>
        <w:t>Дефицит в пределах суммы снижения остатка средств на начало года составляет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868C7">
        <w:rPr>
          <w:rFonts w:ascii="Times New Roman" w:hAnsi="Times New Roman" w:cs="Times New Roman"/>
          <w:sz w:val="24"/>
          <w:szCs w:val="24"/>
        </w:rPr>
        <w:t>,5% собственных доходов</w:t>
      </w:r>
      <w:r>
        <w:rPr>
          <w:rFonts w:ascii="Times New Roman" w:hAnsi="Times New Roman" w:cs="Times New Roman"/>
          <w:sz w:val="24"/>
          <w:szCs w:val="24"/>
        </w:rPr>
        <w:t>. Р</w:t>
      </w:r>
      <w:r w:rsidRPr="002868C7">
        <w:rPr>
          <w:rFonts w:ascii="Times New Roman" w:hAnsi="Times New Roman" w:cs="Times New Roman"/>
          <w:sz w:val="24"/>
          <w:szCs w:val="24"/>
        </w:rPr>
        <w:t>азмер превышения ограничений дефицита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составляет 0,5% и покрывается за счёт снижения суммы остатка собственных средств. </w:t>
      </w:r>
    </w:p>
    <w:p w:rsidR="00BE0376" w:rsidRPr="00A10176" w:rsidRDefault="00BE0376" w:rsidP="00BE0376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176">
        <w:rPr>
          <w:rFonts w:ascii="Times New Roman" w:hAnsi="Times New Roman" w:cs="Times New Roman"/>
          <w:sz w:val="24"/>
          <w:szCs w:val="24"/>
        </w:rPr>
        <w:t>В соответствии со статьей 236.1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0176">
        <w:rPr>
          <w:rFonts w:ascii="Times New Roman" w:hAnsi="Times New Roman" w:cs="Times New Roman"/>
          <w:sz w:val="24"/>
          <w:szCs w:val="24"/>
        </w:rPr>
        <w:t xml:space="preserve"> Бюджетного кодекса РФ финансовый орган муниципального образования в порядке, установленном местной администрацией муниципального образования, с учетом общих требований, установленных Правительством Российской Федерации, вправе привлекать остатки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открытых финансовому органу муниципального образования,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сопровождения, открытых финансовому органу муниципального образования. Постановлением администрации СГО от 10.02.2022 № 191 (с учётом изменений) утвержден Порядок привлечения остатков средств с казначейских счетов на единый счет бюджета муниципального образования Сосновоборский городской округ Ленинградской области и возврата привлеченных средств на указанные счета.</w:t>
      </w:r>
    </w:p>
    <w:p w:rsidR="00BE0376" w:rsidRDefault="00BE0376" w:rsidP="00BE0376">
      <w:pPr>
        <w:ind w:firstLine="709"/>
        <w:jc w:val="both"/>
      </w:pPr>
      <w:r>
        <w:t>В</w:t>
      </w:r>
      <w:r w:rsidRPr="002868C7">
        <w:t xml:space="preserve"> приложении №1 к проекту решения </w:t>
      </w:r>
      <w:r>
        <w:t>СД СГО</w:t>
      </w:r>
      <w:r w:rsidRPr="00F22179">
        <w:t xml:space="preserve"> указана возможность привлечения на единый счет местного бюджета в целях предотвращения возникновения временных кассовых разрывов </w:t>
      </w:r>
      <w:r>
        <w:t xml:space="preserve">в 2024 году </w:t>
      </w:r>
      <w:r w:rsidRPr="00F22179">
        <w:t xml:space="preserve">остатков средств с </w:t>
      </w:r>
      <w:r w:rsidRPr="00F22179">
        <w:lastRenderedPageBreak/>
        <w:t>казначейского счета для осуществления и отражения операций с денежными средствами бюджетных и автономных учреждений с последующим возвратом данных средств.</w:t>
      </w:r>
    </w:p>
    <w:p w:rsidR="00BE0376" w:rsidRPr="00A10176" w:rsidRDefault="00BE0376" w:rsidP="00BE0376">
      <w:pPr>
        <w:pStyle w:val="ConsPlusNormal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176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 Сосновоборского городского округа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10176">
        <w:rPr>
          <w:rFonts w:ascii="Times New Roman" w:hAnsi="Times New Roman" w:cs="Times New Roman"/>
          <w:sz w:val="24"/>
          <w:szCs w:val="24"/>
        </w:rPr>
        <w:t xml:space="preserve"> год предусмотрены в соответствии с законодательством и муниципальными правовыми актами. Нарушений не выявлено.</w:t>
      </w:r>
    </w:p>
    <w:p w:rsidR="00BE0376" w:rsidRPr="00482EA2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A2">
        <w:rPr>
          <w:rFonts w:ascii="Times New Roman" w:hAnsi="Times New Roman" w:cs="Times New Roman"/>
          <w:sz w:val="24"/>
          <w:szCs w:val="24"/>
        </w:rPr>
        <w:t xml:space="preserve">Требования положений Бюджетного кодекса </w:t>
      </w:r>
      <w:r>
        <w:rPr>
          <w:rFonts w:ascii="Times New Roman" w:hAnsi="Times New Roman" w:cs="Times New Roman"/>
          <w:sz w:val="24"/>
          <w:szCs w:val="24"/>
        </w:rPr>
        <w:t xml:space="preserve">РФ </w:t>
      </w:r>
      <w:r w:rsidRPr="00482EA2">
        <w:rPr>
          <w:rFonts w:ascii="Times New Roman" w:hAnsi="Times New Roman" w:cs="Times New Roman"/>
          <w:sz w:val="24"/>
          <w:szCs w:val="24"/>
        </w:rPr>
        <w:t>соблюдены.</w:t>
      </w:r>
    </w:p>
    <w:p w:rsidR="00BE0376" w:rsidRPr="00A10176" w:rsidRDefault="00BE0376" w:rsidP="00BE0376">
      <w:pPr>
        <w:pStyle w:val="ConsPlusNormal"/>
        <w:widowControl/>
        <w:ind w:righ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376" w:rsidRDefault="00BE0376" w:rsidP="00BE0376">
      <w:pPr>
        <w:pStyle w:val="ConsPlusNormal"/>
        <w:widowControl/>
        <w:numPr>
          <w:ilvl w:val="0"/>
          <w:numId w:val="7"/>
        </w:num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2B4">
        <w:rPr>
          <w:rFonts w:ascii="Times New Roman" w:hAnsi="Times New Roman" w:cs="Times New Roman"/>
          <w:b/>
          <w:sz w:val="24"/>
          <w:szCs w:val="24"/>
        </w:rPr>
        <w:t>Анализ соответствия приложений к проекту решения.</w:t>
      </w:r>
    </w:p>
    <w:p w:rsidR="00BE0376" w:rsidRPr="002332B4" w:rsidRDefault="00BE0376" w:rsidP="00BE0376">
      <w:pPr>
        <w:pStyle w:val="ConsPlusNormal"/>
        <w:widowControl/>
        <w:ind w:left="1069" w:right="-142" w:firstLine="0"/>
        <w:rPr>
          <w:rFonts w:ascii="Times New Roman" w:hAnsi="Times New Roman" w:cs="Times New Roman"/>
          <w:b/>
          <w:sz w:val="24"/>
          <w:szCs w:val="24"/>
        </w:rPr>
      </w:pPr>
    </w:p>
    <w:p w:rsidR="00BE0376" w:rsidRPr="002332B4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2B4">
        <w:rPr>
          <w:rFonts w:ascii="Times New Roman" w:hAnsi="Times New Roman" w:cs="Times New Roman"/>
          <w:sz w:val="24"/>
          <w:szCs w:val="24"/>
        </w:rPr>
        <w:t xml:space="preserve">К проекту решения СД СГО «О внесении изменений в решение Совета депутатов от 13.12.2023 № 166 «О бюджете Сосновоборского городского округа на 2024 год и на плановый период 2025 и 2026 годов» предлагаются к утверждению в новой редакции приложения №№ 1, 2, 3, </w:t>
      </w:r>
      <w:r>
        <w:rPr>
          <w:rFonts w:ascii="Times New Roman" w:hAnsi="Times New Roman" w:cs="Times New Roman"/>
          <w:sz w:val="24"/>
          <w:szCs w:val="24"/>
        </w:rPr>
        <w:t>4 ,</w:t>
      </w:r>
      <w:r w:rsidRPr="002332B4">
        <w:rPr>
          <w:rFonts w:ascii="Times New Roman" w:hAnsi="Times New Roman" w:cs="Times New Roman"/>
          <w:sz w:val="24"/>
          <w:szCs w:val="24"/>
        </w:rPr>
        <w:t xml:space="preserve">5, </w:t>
      </w:r>
      <w:r>
        <w:rPr>
          <w:rFonts w:ascii="Times New Roman" w:hAnsi="Times New Roman" w:cs="Times New Roman"/>
          <w:sz w:val="24"/>
          <w:szCs w:val="24"/>
        </w:rPr>
        <w:t xml:space="preserve">6, </w:t>
      </w:r>
      <w:r w:rsidRPr="002332B4">
        <w:rPr>
          <w:rFonts w:ascii="Times New Roman" w:hAnsi="Times New Roman" w:cs="Times New Roman"/>
          <w:sz w:val="24"/>
          <w:szCs w:val="24"/>
        </w:rPr>
        <w:t>7, 8, 9, 10, 11, 12, 13, 14, 17, 18.</w:t>
      </w:r>
    </w:p>
    <w:p w:rsidR="00BE0376" w:rsidRPr="002332B4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2B4">
        <w:rPr>
          <w:rFonts w:ascii="Times New Roman" w:hAnsi="Times New Roman" w:cs="Times New Roman"/>
          <w:sz w:val="24"/>
          <w:szCs w:val="24"/>
        </w:rPr>
        <w:t>Данные, отраженные в приложениях, соответствуют вносимым изменениям, изложенным в текстовой части проекта решения</w:t>
      </w:r>
      <w:r>
        <w:rPr>
          <w:rFonts w:ascii="Times New Roman" w:hAnsi="Times New Roman" w:cs="Times New Roman"/>
          <w:sz w:val="24"/>
          <w:szCs w:val="24"/>
        </w:rPr>
        <w:t xml:space="preserve"> СД СГО</w:t>
      </w:r>
      <w:r w:rsidRPr="002332B4">
        <w:rPr>
          <w:rFonts w:ascii="Times New Roman" w:hAnsi="Times New Roman" w:cs="Times New Roman"/>
          <w:sz w:val="24"/>
          <w:szCs w:val="24"/>
        </w:rPr>
        <w:t xml:space="preserve">, и данным в пояснительной записке к проекту решения СД СГО. </w:t>
      </w:r>
    </w:p>
    <w:p w:rsidR="00BE0376" w:rsidRPr="00A21EF2" w:rsidRDefault="00BE0376" w:rsidP="00BE0376">
      <w:pPr>
        <w:pStyle w:val="ConsPlusNormal"/>
        <w:widowControl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EF2">
        <w:rPr>
          <w:rFonts w:ascii="Times New Roman" w:hAnsi="Times New Roman" w:cs="Times New Roman"/>
          <w:sz w:val="24"/>
          <w:szCs w:val="24"/>
        </w:rPr>
        <w:t>Замечаний не установлено.</w:t>
      </w:r>
    </w:p>
    <w:p w:rsidR="00BE0376" w:rsidRPr="00A21EF2" w:rsidRDefault="00BE0376" w:rsidP="00BE0376">
      <w:pPr>
        <w:pStyle w:val="ConsPlusNormal"/>
        <w:widowControl/>
        <w:ind w:righ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376" w:rsidRDefault="00BE0376" w:rsidP="00BE0376">
      <w:pPr>
        <w:pStyle w:val="ConsPlusNormal"/>
        <w:widowControl/>
        <w:numPr>
          <w:ilvl w:val="0"/>
          <w:numId w:val="7"/>
        </w:num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EF2">
        <w:rPr>
          <w:rFonts w:ascii="Times New Roman" w:hAnsi="Times New Roman" w:cs="Times New Roman"/>
          <w:b/>
          <w:sz w:val="24"/>
          <w:szCs w:val="24"/>
        </w:rPr>
        <w:t>Анализ текстовой части проекта решения.</w:t>
      </w:r>
    </w:p>
    <w:p w:rsidR="00BE0376" w:rsidRPr="00A21EF2" w:rsidRDefault="00BE0376" w:rsidP="00BE0376">
      <w:pPr>
        <w:pStyle w:val="ConsPlusNormal"/>
        <w:widowControl/>
        <w:ind w:left="1069" w:right="-142" w:firstLine="0"/>
        <w:rPr>
          <w:rFonts w:ascii="Times New Roman" w:hAnsi="Times New Roman" w:cs="Times New Roman"/>
          <w:b/>
          <w:sz w:val="24"/>
          <w:szCs w:val="24"/>
        </w:rPr>
      </w:pPr>
    </w:p>
    <w:p w:rsidR="00BE0376" w:rsidRPr="00A21EF2" w:rsidRDefault="00BE0376" w:rsidP="00BE0376">
      <w:pPr>
        <w:ind w:firstLine="709"/>
        <w:jc w:val="both"/>
      </w:pPr>
      <w:r w:rsidRPr="00A21EF2">
        <w:t xml:space="preserve">По текстовой части проекта решения </w:t>
      </w:r>
      <w:r>
        <w:t xml:space="preserve">СД СГО </w:t>
      </w:r>
      <w:r w:rsidRPr="00A21EF2">
        <w:t>замечания отсутствуют.</w:t>
      </w:r>
    </w:p>
    <w:p w:rsidR="00BE0376" w:rsidRPr="00A21EF2" w:rsidRDefault="00BE0376" w:rsidP="00BE0376">
      <w:pPr>
        <w:ind w:firstLine="709"/>
        <w:jc w:val="both"/>
      </w:pPr>
    </w:p>
    <w:p w:rsidR="00BE0376" w:rsidRDefault="00BE0376" w:rsidP="00BE0376">
      <w:pPr>
        <w:numPr>
          <w:ilvl w:val="0"/>
          <w:numId w:val="7"/>
        </w:numPr>
        <w:jc w:val="center"/>
        <w:rPr>
          <w:b/>
        </w:rPr>
      </w:pPr>
      <w:r w:rsidRPr="00A21EF2">
        <w:rPr>
          <w:b/>
        </w:rPr>
        <w:t>Выводы и предложения.</w:t>
      </w:r>
    </w:p>
    <w:p w:rsidR="00BE0376" w:rsidRPr="00A21EF2" w:rsidRDefault="00BE0376" w:rsidP="00BE0376">
      <w:pPr>
        <w:ind w:left="1069"/>
        <w:rPr>
          <w:b/>
        </w:rPr>
      </w:pPr>
    </w:p>
    <w:p w:rsidR="00BE0376" w:rsidRDefault="00BE0376" w:rsidP="00BE0376">
      <w:pPr>
        <w:ind w:firstLine="709"/>
        <w:jc w:val="both"/>
      </w:pPr>
      <w:r w:rsidRPr="008D3F29">
        <w:t xml:space="preserve">По результатам проведенной экспертизы </w:t>
      </w:r>
      <w:r>
        <w:t>Контрольно-счетная палата Сосновоборского городского округа</w:t>
      </w:r>
      <w:r w:rsidRPr="008D3F29">
        <w:t xml:space="preserve"> предлагает</w:t>
      </w:r>
      <w:r>
        <w:t xml:space="preserve"> принять к рассмотрению проект решения совета депутатов </w:t>
      </w:r>
      <w:r w:rsidRPr="001844F7">
        <w:t xml:space="preserve">«О внесении изменений в решение Совета депутатов от </w:t>
      </w:r>
      <w:r w:rsidRPr="0011795B">
        <w:t>13.12.2023</w:t>
      </w:r>
      <w:r w:rsidRPr="00EB2B33">
        <w:t xml:space="preserve"> </w:t>
      </w:r>
      <w:r w:rsidRPr="0011795B">
        <w:t>№166</w:t>
      </w:r>
      <w:r w:rsidRPr="00924E85">
        <w:rPr>
          <w:bCs/>
          <w:sz w:val="20"/>
          <w:szCs w:val="20"/>
        </w:rPr>
        <w:t xml:space="preserve"> </w:t>
      </w:r>
      <w:r w:rsidRPr="001844F7">
        <w:t>«О бюджете Сосновоборского городского округа на 202</w:t>
      </w:r>
      <w:r>
        <w:t>4</w:t>
      </w:r>
      <w:r w:rsidRPr="001844F7">
        <w:t xml:space="preserve"> год и на плановый период 202</w:t>
      </w:r>
      <w:r>
        <w:t>5</w:t>
      </w:r>
      <w:r w:rsidRPr="001844F7">
        <w:t xml:space="preserve"> и 202</w:t>
      </w:r>
      <w:r>
        <w:t>6</w:t>
      </w:r>
      <w:r w:rsidRPr="001844F7">
        <w:t xml:space="preserve"> годов»</w:t>
      </w:r>
      <w:r>
        <w:t>.</w:t>
      </w:r>
    </w:p>
    <w:p w:rsidR="00BE0376" w:rsidRPr="000E02CD" w:rsidRDefault="00BE0376" w:rsidP="00BE0376">
      <w:pPr>
        <w:ind w:firstLine="709"/>
        <w:jc w:val="both"/>
      </w:pPr>
    </w:p>
    <w:p w:rsidR="00BE0376" w:rsidRDefault="00BE0376" w:rsidP="00BE0376">
      <w:pPr>
        <w:jc w:val="both"/>
      </w:pPr>
    </w:p>
    <w:p w:rsidR="00BE0376" w:rsidRDefault="00BE0376" w:rsidP="00BE0376">
      <w:pPr>
        <w:jc w:val="both"/>
      </w:pPr>
    </w:p>
    <w:p w:rsidR="00BE0376" w:rsidRDefault="00BE0376" w:rsidP="00BE0376">
      <w:pPr>
        <w:jc w:val="both"/>
      </w:pPr>
      <w:r>
        <w:t>Заключение подготовил:</w:t>
      </w:r>
    </w:p>
    <w:p w:rsidR="00BE0376" w:rsidRDefault="00BE0376" w:rsidP="00BE0376">
      <w:pPr>
        <w:jc w:val="both"/>
      </w:pPr>
    </w:p>
    <w:p w:rsidR="00BE0376" w:rsidRDefault="00BE0376" w:rsidP="00BE0376">
      <w:pPr>
        <w:jc w:val="both"/>
      </w:pPr>
      <w:r>
        <w:t>Председатель Контрольно-счётной палаты</w:t>
      </w:r>
    </w:p>
    <w:p w:rsidR="00BE0376" w:rsidRPr="008D3F29" w:rsidRDefault="00BE0376" w:rsidP="00BE0376">
      <w:pPr>
        <w:jc w:val="both"/>
      </w:pPr>
      <w:r>
        <w:t xml:space="preserve">Сосновоборского городского округа                                                            </w:t>
      </w:r>
      <w:r>
        <w:tab/>
        <w:t xml:space="preserve">   И.П. Уварова</w:t>
      </w:r>
    </w:p>
    <w:p w:rsidR="00BE0376" w:rsidRPr="009C4474" w:rsidRDefault="00BE0376" w:rsidP="00BE0376">
      <w:pPr>
        <w:ind w:firstLine="709"/>
        <w:jc w:val="both"/>
        <w:rPr>
          <w:color w:val="FF0000"/>
        </w:rPr>
      </w:pPr>
    </w:p>
    <w:p w:rsidR="00176260" w:rsidRDefault="00176260" w:rsidP="00BE287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sectPr w:rsidR="00176260" w:rsidSect="001762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3AF" w:rsidRDefault="004473AF" w:rsidP="00BE0376">
      <w:r>
        <w:separator/>
      </w:r>
    </w:p>
  </w:endnote>
  <w:endnote w:type="continuationSeparator" w:id="0">
    <w:p w:rsidR="004473AF" w:rsidRDefault="004473AF" w:rsidP="00BE0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76" w:rsidRDefault="00BE037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76" w:rsidRDefault="00BE037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76" w:rsidRDefault="00BE037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3AF" w:rsidRDefault="004473AF" w:rsidP="00BE0376">
      <w:r>
        <w:separator/>
      </w:r>
    </w:p>
  </w:footnote>
  <w:footnote w:type="continuationSeparator" w:id="0">
    <w:p w:rsidR="004473AF" w:rsidRDefault="004473AF" w:rsidP="00BE0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76" w:rsidRDefault="00BE037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76" w:rsidRDefault="00BE037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76" w:rsidRDefault="00BE037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D6A"/>
    <w:multiLevelType w:val="hybridMultilevel"/>
    <w:tmpl w:val="5BE60C28"/>
    <w:lvl w:ilvl="0" w:tplc="10B4503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119F30F4"/>
    <w:multiLevelType w:val="hybridMultilevel"/>
    <w:tmpl w:val="6932FF30"/>
    <w:lvl w:ilvl="0" w:tplc="295066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B6C143B"/>
    <w:multiLevelType w:val="hybridMultilevel"/>
    <w:tmpl w:val="08F64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54D2226"/>
    <w:multiLevelType w:val="hybridMultilevel"/>
    <w:tmpl w:val="091A78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C904F8D"/>
    <w:multiLevelType w:val="hybridMultilevel"/>
    <w:tmpl w:val="1540A5A2"/>
    <w:lvl w:ilvl="0" w:tplc="67B03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54013"/>
    <w:multiLevelType w:val="hybridMultilevel"/>
    <w:tmpl w:val="E348DA7C"/>
    <w:lvl w:ilvl="0" w:tplc="1AD60A50">
      <w:start w:val="2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6">
    <w:nsid w:val="693D1A0B"/>
    <w:multiLevelType w:val="hybridMultilevel"/>
    <w:tmpl w:val="C0169B6A"/>
    <w:lvl w:ilvl="0" w:tplc="6826159E">
      <w:start w:val="1"/>
      <w:numFmt w:val="decimal"/>
      <w:lvlText w:val="%1."/>
      <w:lvlJc w:val="left"/>
      <w:pPr>
        <w:tabs>
          <w:tab w:val="num" w:pos="1383"/>
        </w:tabs>
        <w:ind w:left="138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63a3b39-ea02-4a14-9edf-b55e6248ed18"/>
  </w:docVars>
  <w:rsids>
    <w:rsidRoot w:val="00BE2872"/>
    <w:rsid w:val="00001270"/>
    <w:rsid w:val="00001B06"/>
    <w:rsid w:val="00015B17"/>
    <w:rsid w:val="00016304"/>
    <w:rsid w:val="000163AA"/>
    <w:rsid w:val="000235F8"/>
    <w:rsid w:val="00026CFD"/>
    <w:rsid w:val="00027C91"/>
    <w:rsid w:val="000550C8"/>
    <w:rsid w:val="000552E0"/>
    <w:rsid w:val="00060B71"/>
    <w:rsid w:val="00062A30"/>
    <w:rsid w:val="0006589E"/>
    <w:rsid w:val="00066B95"/>
    <w:rsid w:val="00074A02"/>
    <w:rsid w:val="000818C1"/>
    <w:rsid w:val="00092091"/>
    <w:rsid w:val="000945FB"/>
    <w:rsid w:val="00096AF9"/>
    <w:rsid w:val="00096F0B"/>
    <w:rsid w:val="000A0034"/>
    <w:rsid w:val="000A06F9"/>
    <w:rsid w:val="000A0777"/>
    <w:rsid w:val="000A2D5D"/>
    <w:rsid w:val="000A3507"/>
    <w:rsid w:val="000A5741"/>
    <w:rsid w:val="000A58F5"/>
    <w:rsid w:val="000A6685"/>
    <w:rsid w:val="000B6577"/>
    <w:rsid w:val="000B7C93"/>
    <w:rsid w:val="000C4368"/>
    <w:rsid w:val="000C6AEC"/>
    <w:rsid w:val="000D2A05"/>
    <w:rsid w:val="000D4295"/>
    <w:rsid w:val="0010020A"/>
    <w:rsid w:val="00104049"/>
    <w:rsid w:val="00125BAB"/>
    <w:rsid w:val="00126E3A"/>
    <w:rsid w:val="00130C97"/>
    <w:rsid w:val="00146AB4"/>
    <w:rsid w:val="00146DD6"/>
    <w:rsid w:val="0015356D"/>
    <w:rsid w:val="00153748"/>
    <w:rsid w:val="00161C40"/>
    <w:rsid w:val="001637C7"/>
    <w:rsid w:val="00171439"/>
    <w:rsid w:val="001727FF"/>
    <w:rsid w:val="00172ADE"/>
    <w:rsid w:val="00175C64"/>
    <w:rsid w:val="00176260"/>
    <w:rsid w:val="00177E04"/>
    <w:rsid w:val="0018465A"/>
    <w:rsid w:val="00187D6E"/>
    <w:rsid w:val="0019035C"/>
    <w:rsid w:val="00192996"/>
    <w:rsid w:val="00193194"/>
    <w:rsid w:val="00195CB7"/>
    <w:rsid w:val="001A0B53"/>
    <w:rsid w:val="001A1E6A"/>
    <w:rsid w:val="001A3EAE"/>
    <w:rsid w:val="001A4AFB"/>
    <w:rsid w:val="001B06CA"/>
    <w:rsid w:val="001C031F"/>
    <w:rsid w:val="001D16E2"/>
    <w:rsid w:val="001D393E"/>
    <w:rsid w:val="001E0D81"/>
    <w:rsid w:val="001E0FAB"/>
    <w:rsid w:val="001F0D6B"/>
    <w:rsid w:val="001F1C3F"/>
    <w:rsid w:val="001F43A7"/>
    <w:rsid w:val="001F6604"/>
    <w:rsid w:val="00201B9A"/>
    <w:rsid w:val="00204B4D"/>
    <w:rsid w:val="002230C3"/>
    <w:rsid w:val="00235BE2"/>
    <w:rsid w:val="002367DF"/>
    <w:rsid w:val="0024422A"/>
    <w:rsid w:val="0024441D"/>
    <w:rsid w:val="0025548A"/>
    <w:rsid w:val="002657C6"/>
    <w:rsid w:val="00265FE8"/>
    <w:rsid w:val="00270C02"/>
    <w:rsid w:val="00273925"/>
    <w:rsid w:val="00275B09"/>
    <w:rsid w:val="00282CA4"/>
    <w:rsid w:val="002842F8"/>
    <w:rsid w:val="00293C1D"/>
    <w:rsid w:val="002A3759"/>
    <w:rsid w:val="002A3F64"/>
    <w:rsid w:val="002B12B5"/>
    <w:rsid w:val="002B3137"/>
    <w:rsid w:val="002B45F7"/>
    <w:rsid w:val="002C236F"/>
    <w:rsid w:val="002C413E"/>
    <w:rsid w:val="002C6B9C"/>
    <w:rsid w:val="002D16EA"/>
    <w:rsid w:val="002D551F"/>
    <w:rsid w:val="002D7F12"/>
    <w:rsid w:val="002E2CF9"/>
    <w:rsid w:val="002E3228"/>
    <w:rsid w:val="002E59A3"/>
    <w:rsid w:val="002E6681"/>
    <w:rsid w:val="00303312"/>
    <w:rsid w:val="003038C5"/>
    <w:rsid w:val="00307075"/>
    <w:rsid w:val="00313CA2"/>
    <w:rsid w:val="003161BF"/>
    <w:rsid w:val="003172F6"/>
    <w:rsid w:val="003213C7"/>
    <w:rsid w:val="00321898"/>
    <w:rsid w:val="00321E45"/>
    <w:rsid w:val="00322A0B"/>
    <w:rsid w:val="00326399"/>
    <w:rsid w:val="00331552"/>
    <w:rsid w:val="00335B6C"/>
    <w:rsid w:val="003376E8"/>
    <w:rsid w:val="00347B9A"/>
    <w:rsid w:val="003652C9"/>
    <w:rsid w:val="00367123"/>
    <w:rsid w:val="00367331"/>
    <w:rsid w:val="00372772"/>
    <w:rsid w:val="003815CD"/>
    <w:rsid w:val="00381F65"/>
    <w:rsid w:val="00394F11"/>
    <w:rsid w:val="003A3276"/>
    <w:rsid w:val="003B1D8C"/>
    <w:rsid w:val="003B46A6"/>
    <w:rsid w:val="003C11BD"/>
    <w:rsid w:val="003C3A93"/>
    <w:rsid w:val="003D4DB3"/>
    <w:rsid w:val="003E4DAA"/>
    <w:rsid w:val="003F1C80"/>
    <w:rsid w:val="003F577C"/>
    <w:rsid w:val="004020CE"/>
    <w:rsid w:val="0040578E"/>
    <w:rsid w:val="0041156C"/>
    <w:rsid w:val="00422034"/>
    <w:rsid w:val="004250A2"/>
    <w:rsid w:val="00432D99"/>
    <w:rsid w:val="0044063F"/>
    <w:rsid w:val="0044094C"/>
    <w:rsid w:val="004473AF"/>
    <w:rsid w:val="00452F7F"/>
    <w:rsid w:val="00463BDE"/>
    <w:rsid w:val="00465673"/>
    <w:rsid w:val="004713EB"/>
    <w:rsid w:val="0048101B"/>
    <w:rsid w:val="00485528"/>
    <w:rsid w:val="0049173A"/>
    <w:rsid w:val="00491994"/>
    <w:rsid w:val="00492615"/>
    <w:rsid w:val="004A011F"/>
    <w:rsid w:val="004A12F1"/>
    <w:rsid w:val="004B2FC5"/>
    <w:rsid w:val="004C3334"/>
    <w:rsid w:val="004C7977"/>
    <w:rsid w:val="004D7136"/>
    <w:rsid w:val="004E2BEF"/>
    <w:rsid w:val="004E63FD"/>
    <w:rsid w:val="004F431E"/>
    <w:rsid w:val="005053A9"/>
    <w:rsid w:val="0051318F"/>
    <w:rsid w:val="005175E2"/>
    <w:rsid w:val="005277F6"/>
    <w:rsid w:val="00534863"/>
    <w:rsid w:val="00545699"/>
    <w:rsid w:val="00553246"/>
    <w:rsid w:val="00556498"/>
    <w:rsid w:val="00560816"/>
    <w:rsid w:val="005663F0"/>
    <w:rsid w:val="005747BA"/>
    <w:rsid w:val="005775DD"/>
    <w:rsid w:val="00580028"/>
    <w:rsid w:val="005810EB"/>
    <w:rsid w:val="00583033"/>
    <w:rsid w:val="00594119"/>
    <w:rsid w:val="005969ED"/>
    <w:rsid w:val="005973BA"/>
    <w:rsid w:val="005A1C0E"/>
    <w:rsid w:val="005A1FA0"/>
    <w:rsid w:val="005D78FE"/>
    <w:rsid w:val="005E0468"/>
    <w:rsid w:val="005E6124"/>
    <w:rsid w:val="00603AE7"/>
    <w:rsid w:val="00604CEC"/>
    <w:rsid w:val="00614AE0"/>
    <w:rsid w:val="0061715F"/>
    <w:rsid w:val="006315C1"/>
    <w:rsid w:val="006340CA"/>
    <w:rsid w:val="00635817"/>
    <w:rsid w:val="006435E6"/>
    <w:rsid w:val="00655DE9"/>
    <w:rsid w:val="0065748C"/>
    <w:rsid w:val="006779C1"/>
    <w:rsid w:val="00684053"/>
    <w:rsid w:val="0068757A"/>
    <w:rsid w:val="006A329C"/>
    <w:rsid w:val="006B045D"/>
    <w:rsid w:val="006B14C9"/>
    <w:rsid w:val="006C423C"/>
    <w:rsid w:val="006D1984"/>
    <w:rsid w:val="006D1C44"/>
    <w:rsid w:val="006D223A"/>
    <w:rsid w:val="006D3C2C"/>
    <w:rsid w:val="006D6D1A"/>
    <w:rsid w:val="006E6240"/>
    <w:rsid w:val="006F71F7"/>
    <w:rsid w:val="00702853"/>
    <w:rsid w:val="0070327D"/>
    <w:rsid w:val="007072F8"/>
    <w:rsid w:val="00711B20"/>
    <w:rsid w:val="00713F14"/>
    <w:rsid w:val="007302DB"/>
    <w:rsid w:val="00734EFE"/>
    <w:rsid w:val="00735120"/>
    <w:rsid w:val="00737D32"/>
    <w:rsid w:val="00743258"/>
    <w:rsid w:val="00761834"/>
    <w:rsid w:val="007749AF"/>
    <w:rsid w:val="007810D6"/>
    <w:rsid w:val="00783EA5"/>
    <w:rsid w:val="00785281"/>
    <w:rsid w:val="007962B5"/>
    <w:rsid w:val="007A0DFA"/>
    <w:rsid w:val="007B1F8D"/>
    <w:rsid w:val="007B5E7A"/>
    <w:rsid w:val="007B6A1B"/>
    <w:rsid w:val="007C3D56"/>
    <w:rsid w:val="007D19C4"/>
    <w:rsid w:val="007E189F"/>
    <w:rsid w:val="007E313F"/>
    <w:rsid w:val="007E647C"/>
    <w:rsid w:val="007F1C82"/>
    <w:rsid w:val="007F3FA6"/>
    <w:rsid w:val="007F404C"/>
    <w:rsid w:val="00800D1F"/>
    <w:rsid w:val="00811F88"/>
    <w:rsid w:val="0081627B"/>
    <w:rsid w:val="00817014"/>
    <w:rsid w:val="008202C3"/>
    <w:rsid w:val="0082183E"/>
    <w:rsid w:val="0082221C"/>
    <w:rsid w:val="0082253E"/>
    <w:rsid w:val="00826A0A"/>
    <w:rsid w:val="00831A0F"/>
    <w:rsid w:val="00831A8A"/>
    <w:rsid w:val="00841005"/>
    <w:rsid w:val="00841423"/>
    <w:rsid w:val="00852E45"/>
    <w:rsid w:val="00863145"/>
    <w:rsid w:val="00864BE3"/>
    <w:rsid w:val="00866506"/>
    <w:rsid w:val="008756B9"/>
    <w:rsid w:val="008775AE"/>
    <w:rsid w:val="00880162"/>
    <w:rsid w:val="0089115D"/>
    <w:rsid w:val="00892AE7"/>
    <w:rsid w:val="008A7323"/>
    <w:rsid w:val="008A7484"/>
    <w:rsid w:val="008A759E"/>
    <w:rsid w:val="008B0C99"/>
    <w:rsid w:val="008B225F"/>
    <w:rsid w:val="008B4457"/>
    <w:rsid w:val="008D0BDB"/>
    <w:rsid w:val="008D1DEF"/>
    <w:rsid w:val="008D5E99"/>
    <w:rsid w:val="008E3C90"/>
    <w:rsid w:val="008F64B2"/>
    <w:rsid w:val="009045E1"/>
    <w:rsid w:val="00912899"/>
    <w:rsid w:val="0091354F"/>
    <w:rsid w:val="00916471"/>
    <w:rsid w:val="00917523"/>
    <w:rsid w:val="00921671"/>
    <w:rsid w:val="00922484"/>
    <w:rsid w:val="00925447"/>
    <w:rsid w:val="00935978"/>
    <w:rsid w:val="00935DC2"/>
    <w:rsid w:val="00936AF2"/>
    <w:rsid w:val="00945778"/>
    <w:rsid w:val="00953FE5"/>
    <w:rsid w:val="009561E2"/>
    <w:rsid w:val="00966C85"/>
    <w:rsid w:val="00970649"/>
    <w:rsid w:val="0098179A"/>
    <w:rsid w:val="00982C0D"/>
    <w:rsid w:val="00982C9E"/>
    <w:rsid w:val="0098307A"/>
    <w:rsid w:val="00995E5F"/>
    <w:rsid w:val="009A0125"/>
    <w:rsid w:val="009A3300"/>
    <w:rsid w:val="009A5075"/>
    <w:rsid w:val="009B1209"/>
    <w:rsid w:val="009B54AC"/>
    <w:rsid w:val="009B7D21"/>
    <w:rsid w:val="009D07C2"/>
    <w:rsid w:val="009D088D"/>
    <w:rsid w:val="009D13FE"/>
    <w:rsid w:val="009E0E79"/>
    <w:rsid w:val="009E44AF"/>
    <w:rsid w:val="009E70BD"/>
    <w:rsid w:val="009E79E7"/>
    <w:rsid w:val="009F755F"/>
    <w:rsid w:val="00A013B9"/>
    <w:rsid w:val="00A02BCC"/>
    <w:rsid w:val="00A06F44"/>
    <w:rsid w:val="00A10906"/>
    <w:rsid w:val="00A2068D"/>
    <w:rsid w:val="00A2761A"/>
    <w:rsid w:val="00A3118A"/>
    <w:rsid w:val="00A43FF2"/>
    <w:rsid w:val="00A533EE"/>
    <w:rsid w:val="00A56FAB"/>
    <w:rsid w:val="00A60909"/>
    <w:rsid w:val="00A67222"/>
    <w:rsid w:val="00A73391"/>
    <w:rsid w:val="00A74E85"/>
    <w:rsid w:val="00A75ED9"/>
    <w:rsid w:val="00A84C4C"/>
    <w:rsid w:val="00A8558D"/>
    <w:rsid w:val="00A94345"/>
    <w:rsid w:val="00A94D7B"/>
    <w:rsid w:val="00AB120D"/>
    <w:rsid w:val="00AC4208"/>
    <w:rsid w:val="00AD45F2"/>
    <w:rsid w:val="00AD7692"/>
    <w:rsid w:val="00AE790C"/>
    <w:rsid w:val="00B05C4A"/>
    <w:rsid w:val="00B17562"/>
    <w:rsid w:val="00B26F4E"/>
    <w:rsid w:val="00B32AFE"/>
    <w:rsid w:val="00B3761D"/>
    <w:rsid w:val="00B42D9F"/>
    <w:rsid w:val="00B52624"/>
    <w:rsid w:val="00B57F77"/>
    <w:rsid w:val="00B650A6"/>
    <w:rsid w:val="00B67312"/>
    <w:rsid w:val="00B7197E"/>
    <w:rsid w:val="00B839F4"/>
    <w:rsid w:val="00B86331"/>
    <w:rsid w:val="00B94193"/>
    <w:rsid w:val="00B96357"/>
    <w:rsid w:val="00BA6547"/>
    <w:rsid w:val="00BB6484"/>
    <w:rsid w:val="00BC0D41"/>
    <w:rsid w:val="00BC2B03"/>
    <w:rsid w:val="00BC6B43"/>
    <w:rsid w:val="00BD33A3"/>
    <w:rsid w:val="00BE0376"/>
    <w:rsid w:val="00BE2872"/>
    <w:rsid w:val="00C01FE4"/>
    <w:rsid w:val="00C0254A"/>
    <w:rsid w:val="00C02681"/>
    <w:rsid w:val="00C1207C"/>
    <w:rsid w:val="00C20A9D"/>
    <w:rsid w:val="00C27B29"/>
    <w:rsid w:val="00C567EA"/>
    <w:rsid w:val="00C7181D"/>
    <w:rsid w:val="00C71ED0"/>
    <w:rsid w:val="00C73F3B"/>
    <w:rsid w:val="00C9127C"/>
    <w:rsid w:val="00CA6613"/>
    <w:rsid w:val="00CB24F5"/>
    <w:rsid w:val="00CB3352"/>
    <w:rsid w:val="00CB548F"/>
    <w:rsid w:val="00CB65C1"/>
    <w:rsid w:val="00CB6D09"/>
    <w:rsid w:val="00CC3EAD"/>
    <w:rsid w:val="00CC7516"/>
    <w:rsid w:val="00CD218C"/>
    <w:rsid w:val="00CD6F8B"/>
    <w:rsid w:val="00CE2749"/>
    <w:rsid w:val="00CE3ED1"/>
    <w:rsid w:val="00CE425B"/>
    <w:rsid w:val="00CE6FD2"/>
    <w:rsid w:val="00CF0308"/>
    <w:rsid w:val="00CF2A33"/>
    <w:rsid w:val="00CF55C5"/>
    <w:rsid w:val="00CF6798"/>
    <w:rsid w:val="00D009EB"/>
    <w:rsid w:val="00D01DC2"/>
    <w:rsid w:val="00D0334D"/>
    <w:rsid w:val="00D15134"/>
    <w:rsid w:val="00D25F1B"/>
    <w:rsid w:val="00D27481"/>
    <w:rsid w:val="00D324FA"/>
    <w:rsid w:val="00D4108E"/>
    <w:rsid w:val="00D41CCF"/>
    <w:rsid w:val="00D479F4"/>
    <w:rsid w:val="00D52998"/>
    <w:rsid w:val="00D52E75"/>
    <w:rsid w:val="00D6669E"/>
    <w:rsid w:val="00D71223"/>
    <w:rsid w:val="00D767AA"/>
    <w:rsid w:val="00D9124B"/>
    <w:rsid w:val="00D9249F"/>
    <w:rsid w:val="00D96AFC"/>
    <w:rsid w:val="00DA23BD"/>
    <w:rsid w:val="00DA3129"/>
    <w:rsid w:val="00DA3514"/>
    <w:rsid w:val="00DA49BB"/>
    <w:rsid w:val="00DA564E"/>
    <w:rsid w:val="00DA6667"/>
    <w:rsid w:val="00DB250C"/>
    <w:rsid w:val="00DB43C6"/>
    <w:rsid w:val="00DC4136"/>
    <w:rsid w:val="00DC6AAF"/>
    <w:rsid w:val="00DD309C"/>
    <w:rsid w:val="00DD6A51"/>
    <w:rsid w:val="00DE5313"/>
    <w:rsid w:val="00E0414F"/>
    <w:rsid w:val="00E06E8A"/>
    <w:rsid w:val="00E160DE"/>
    <w:rsid w:val="00E2356B"/>
    <w:rsid w:val="00E3088E"/>
    <w:rsid w:val="00E41389"/>
    <w:rsid w:val="00E41C0C"/>
    <w:rsid w:val="00E5077D"/>
    <w:rsid w:val="00E56514"/>
    <w:rsid w:val="00E57C9B"/>
    <w:rsid w:val="00E71E84"/>
    <w:rsid w:val="00E72989"/>
    <w:rsid w:val="00E74451"/>
    <w:rsid w:val="00E861BB"/>
    <w:rsid w:val="00E90910"/>
    <w:rsid w:val="00E92024"/>
    <w:rsid w:val="00E96EC8"/>
    <w:rsid w:val="00EB5561"/>
    <w:rsid w:val="00EC3805"/>
    <w:rsid w:val="00EC4E42"/>
    <w:rsid w:val="00ED26F1"/>
    <w:rsid w:val="00ED6A79"/>
    <w:rsid w:val="00EE0B4B"/>
    <w:rsid w:val="00EE7AFA"/>
    <w:rsid w:val="00F02780"/>
    <w:rsid w:val="00F109D8"/>
    <w:rsid w:val="00F11B20"/>
    <w:rsid w:val="00F22BC3"/>
    <w:rsid w:val="00F25948"/>
    <w:rsid w:val="00F27421"/>
    <w:rsid w:val="00F35D6E"/>
    <w:rsid w:val="00F36AED"/>
    <w:rsid w:val="00F36B6F"/>
    <w:rsid w:val="00F42163"/>
    <w:rsid w:val="00F45ECB"/>
    <w:rsid w:val="00F52C44"/>
    <w:rsid w:val="00F5411F"/>
    <w:rsid w:val="00F610C6"/>
    <w:rsid w:val="00F67073"/>
    <w:rsid w:val="00F71DE2"/>
    <w:rsid w:val="00F75B63"/>
    <w:rsid w:val="00F9172E"/>
    <w:rsid w:val="00F917EB"/>
    <w:rsid w:val="00F94426"/>
    <w:rsid w:val="00F96B7C"/>
    <w:rsid w:val="00F97023"/>
    <w:rsid w:val="00FC4B1C"/>
    <w:rsid w:val="00FD0697"/>
    <w:rsid w:val="00FD7042"/>
    <w:rsid w:val="00FE4DDE"/>
    <w:rsid w:val="00F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28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val">
    <w:name w:val="val"/>
    <w:basedOn w:val="a0"/>
    <w:rsid w:val="00BE2872"/>
  </w:style>
  <w:style w:type="paragraph" w:styleId="a3">
    <w:name w:val="Document Map"/>
    <w:basedOn w:val="a"/>
    <w:semiHidden/>
    <w:rsid w:val="00DA56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7F404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71223"/>
    <w:rPr>
      <w:b/>
      <w:bCs/>
    </w:rPr>
  </w:style>
  <w:style w:type="paragraph" w:customStyle="1" w:styleId="ConsPlusTitle">
    <w:name w:val="ConsPlusTitle"/>
    <w:rsid w:val="00347B9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Title"/>
    <w:basedOn w:val="a"/>
    <w:link w:val="a7"/>
    <w:qFormat/>
    <w:rsid w:val="00BE0376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BE0376"/>
    <w:rPr>
      <w:b/>
      <w:bCs/>
      <w:sz w:val="24"/>
      <w:szCs w:val="24"/>
    </w:rPr>
  </w:style>
  <w:style w:type="paragraph" w:styleId="a8">
    <w:name w:val="Normal (Web)"/>
    <w:basedOn w:val="a"/>
    <w:rsid w:val="00BE0376"/>
    <w:pPr>
      <w:spacing w:before="100" w:beforeAutospacing="1" w:after="100" w:afterAutospacing="1"/>
    </w:pPr>
  </w:style>
  <w:style w:type="paragraph" w:customStyle="1" w:styleId="textindent">
    <w:name w:val="textindent"/>
    <w:basedOn w:val="a"/>
    <w:rsid w:val="00BE0376"/>
    <w:pPr>
      <w:spacing w:before="60" w:after="60"/>
      <w:ind w:firstLine="225"/>
      <w:jc w:val="both"/>
      <w:textAlignment w:val="baseline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ConsPlusNormal">
    <w:name w:val="ConsPlusNormal"/>
    <w:rsid w:val="00BE03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semiHidden/>
    <w:unhideWhenUsed/>
    <w:rsid w:val="00BE03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BE0376"/>
    <w:rPr>
      <w:sz w:val="24"/>
      <w:szCs w:val="24"/>
    </w:rPr>
  </w:style>
  <w:style w:type="paragraph" w:styleId="ab">
    <w:name w:val="footer"/>
    <w:basedOn w:val="a"/>
    <w:link w:val="ac"/>
    <w:semiHidden/>
    <w:unhideWhenUsed/>
    <w:rsid w:val="00BE03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BE037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4781&amp;dst=150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4781&amp;dst=150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Сосновоборского</vt:lpstr>
    </vt:vector>
  </TitlesOfParts>
  <Company>Аппарат Совета депутатов Сосновый Бор</Company>
  <LinksUpToDate>false</LinksUpToDate>
  <CharactersWithSpaces>14133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Сосновоборского</dc:title>
  <dc:creator>Одинцов</dc:creator>
  <cp:lastModifiedBy>Совет депутатов - Рябинкина Е.В.</cp:lastModifiedBy>
  <cp:revision>2</cp:revision>
  <cp:lastPrinted>2021-10-26T09:17:00Z</cp:lastPrinted>
  <dcterms:created xsi:type="dcterms:W3CDTF">2024-10-21T15:09:00Z</dcterms:created>
  <dcterms:modified xsi:type="dcterms:W3CDTF">2024-10-21T15:09:00Z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263a3b39-ea02-4a14-9edf-b55e6248ed18</vt:lpwstr>
  </property>
</Properties>
</file>