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FE" w:rsidRDefault="00D87FFE" w:rsidP="00D87FFE"/>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Default="00D87FFE" w:rsidP="00D87FFE">
      <w:pPr>
        <w:pStyle w:val="ConsPlusNormal"/>
        <w:spacing w:line="276" w:lineRule="auto"/>
        <w:jc w:val="center"/>
        <w:rPr>
          <w:szCs w:val="24"/>
        </w:rPr>
      </w:pPr>
    </w:p>
    <w:p w:rsidR="00D87FFE" w:rsidRPr="0098432C" w:rsidRDefault="00D87FFE" w:rsidP="00D87FFE">
      <w:pPr>
        <w:pStyle w:val="ConsPlusNormal"/>
        <w:spacing w:line="276" w:lineRule="auto"/>
        <w:jc w:val="center"/>
        <w:rPr>
          <w:szCs w:val="24"/>
        </w:rPr>
      </w:pPr>
    </w:p>
    <w:p w:rsidR="00D87FFE" w:rsidRPr="00035E20" w:rsidRDefault="00D87FFE" w:rsidP="00D87FFE">
      <w:pPr>
        <w:pStyle w:val="ConsPlusNonformat"/>
        <w:spacing w:line="276" w:lineRule="auto"/>
        <w:jc w:val="center"/>
        <w:rPr>
          <w:rFonts w:ascii="Times New Roman" w:hAnsi="Times New Roman" w:cs="Times New Roman"/>
          <w:b/>
          <w:sz w:val="32"/>
          <w:szCs w:val="32"/>
        </w:rPr>
      </w:pPr>
      <w:bookmarkStart w:id="0" w:name="P329"/>
      <w:bookmarkEnd w:id="0"/>
      <w:r w:rsidRPr="00035E20">
        <w:rPr>
          <w:rFonts w:ascii="Times New Roman" w:hAnsi="Times New Roman" w:cs="Times New Roman"/>
          <w:b/>
          <w:sz w:val="32"/>
          <w:szCs w:val="32"/>
        </w:rPr>
        <w:t>ДОКЛАД</w:t>
      </w:r>
    </w:p>
    <w:p w:rsidR="00D87FFE" w:rsidRPr="0098432C" w:rsidRDefault="00D87FFE" w:rsidP="00D87FFE">
      <w:pPr>
        <w:pStyle w:val="ConsPlusNonformat"/>
        <w:spacing w:line="276" w:lineRule="auto"/>
        <w:jc w:val="center"/>
        <w:rPr>
          <w:rFonts w:ascii="Times New Roman" w:hAnsi="Times New Roman" w:cs="Times New Roman"/>
          <w:b/>
          <w:sz w:val="24"/>
          <w:szCs w:val="24"/>
        </w:rPr>
      </w:pPr>
    </w:p>
    <w:p w:rsidR="00D87FFE" w:rsidRPr="0098432C" w:rsidRDefault="00D87FFE" w:rsidP="00D87FFE">
      <w:pPr>
        <w:pStyle w:val="ConsPlusNonformat"/>
        <w:spacing w:line="276" w:lineRule="auto"/>
        <w:jc w:val="center"/>
        <w:rPr>
          <w:rFonts w:ascii="Times New Roman" w:hAnsi="Times New Roman" w:cs="Times New Roman"/>
          <w:b/>
          <w:sz w:val="28"/>
          <w:szCs w:val="28"/>
          <w:u w:val="single"/>
        </w:rPr>
      </w:pPr>
      <w:r w:rsidRPr="0098432C">
        <w:rPr>
          <w:rFonts w:ascii="Times New Roman" w:hAnsi="Times New Roman" w:cs="Times New Roman"/>
          <w:b/>
          <w:sz w:val="28"/>
          <w:szCs w:val="28"/>
          <w:u w:val="single"/>
        </w:rPr>
        <w:t>Воронкова Михаила Васильевича – главы администрации</w:t>
      </w:r>
    </w:p>
    <w:p w:rsidR="00D87FFE" w:rsidRPr="0098432C" w:rsidRDefault="00D87FFE" w:rsidP="00D87FFE">
      <w:pPr>
        <w:pStyle w:val="ConsPlusNonformat"/>
        <w:spacing w:line="276" w:lineRule="auto"/>
        <w:jc w:val="center"/>
        <w:rPr>
          <w:rFonts w:ascii="Times New Roman" w:hAnsi="Times New Roman" w:cs="Times New Roman"/>
          <w:sz w:val="24"/>
          <w:szCs w:val="24"/>
        </w:rPr>
      </w:pPr>
      <w:r w:rsidRPr="0098432C">
        <w:rPr>
          <w:rFonts w:ascii="Times New Roman" w:hAnsi="Times New Roman" w:cs="Times New Roman"/>
          <w:sz w:val="24"/>
          <w:szCs w:val="24"/>
        </w:rPr>
        <w:t>(фамилия, имя, отчество главы администрации городского округа)</w:t>
      </w:r>
    </w:p>
    <w:p w:rsidR="00D87FFE" w:rsidRPr="0098432C" w:rsidRDefault="00D87FFE" w:rsidP="00D87FFE">
      <w:pPr>
        <w:pStyle w:val="ConsPlusNonformat"/>
        <w:spacing w:line="276" w:lineRule="auto"/>
        <w:jc w:val="center"/>
        <w:rPr>
          <w:rFonts w:ascii="Times New Roman" w:hAnsi="Times New Roman" w:cs="Times New Roman"/>
          <w:b/>
          <w:sz w:val="28"/>
          <w:szCs w:val="28"/>
          <w:u w:val="single"/>
        </w:rPr>
      </w:pPr>
      <w:r w:rsidRPr="0098432C">
        <w:rPr>
          <w:rFonts w:ascii="Times New Roman" w:hAnsi="Times New Roman" w:cs="Times New Roman"/>
          <w:b/>
          <w:sz w:val="28"/>
          <w:szCs w:val="28"/>
          <w:u w:val="single"/>
        </w:rPr>
        <w:t>Сосновоборского городского округа</w:t>
      </w:r>
    </w:p>
    <w:p w:rsidR="00D87FFE" w:rsidRPr="0098432C" w:rsidRDefault="00D87FFE" w:rsidP="00D87FFE">
      <w:pPr>
        <w:pStyle w:val="ConsPlusNonformat"/>
        <w:spacing w:line="276" w:lineRule="auto"/>
        <w:jc w:val="center"/>
        <w:rPr>
          <w:rFonts w:ascii="Times New Roman" w:hAnsi="Times New Roman" w:cs="Times New Roman"/>
          <w:sz w:val="24"/>
          <w:szCs w:val="24"/>
        </w:rPr>
      </w:pPr>
      <w:r w:rsidRPr="0098432C">
        <w:rPr>
          <w:rFonts w:ascii="Times New Roman" w:hAnsi="Times New Roman" w:cs="Times New Roman"/>
          <w:sz w:val="24"/>
          <w:szCs w:val="24"/>
        </w:rPr>
        <w:t>(наименование городского округа)</w:t>
      </w:r>
    </w:p>
    <w:p w:rsidR="00D87FFE" w:rsidRDefault="00D87FFE" w:rsidP="00D87FFE">
      <w:pPr>
        <w:pStyle w:val="ConsPlusNonformat"/>
        <w:spacing w:line="276" w:lineRule="auto"/>
        <w:jc w:val="center"/>
        <w:rPr>
          <w:rFonts w:ascii="Times New Roman" w:hAnsi="Times New Roman" w:cs="Times New Roman"/>
          <w:b/>
          <w:sz w:val="24"/>
          <w:szCs w:val="24"/>
        </w:rPr>
      </w:pPr>
    </w:p>
    <w:p w:rsidR="00D87FFE" w:rsidRPr="0098432C" w:rsidRDefault="00D87FFE" w:rsidP="00D87FFE">
      <w:pPr>
        <w:pStyle w:val="ConsPlusNonformat"/>
        <w:spacing w:line="276" w:lineRule="auto"/>
        <w:jc w:val="center"/>
        <w:rPr>
          <w:rFonts w:ascii="Times New Roman" w:hAnsi="Times New Roman" w:cs="Times New Roman"/>
          <w:b/>
          <w:sz w:val="24"/>
          <w:szCs w:val="24"/>
        </w:rPr>
      </w:pP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о достигнутых значениях показателей для оценки эффективности</w:t>
      </w: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 xml:space="preserve">деятельности органов местного самоуправления городского округа </w:t>
      </w: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 xml:space="preserve">за 2018 год и их планируемых </w:t>
      </w:r>
      <w:proofErr w:type="gramStart"/>
      <w:r w:rsidRPr="0098432C">
        <w:rPr>
          <w:rFonts w:ascii="Times New Roman" w:hAnsi="Times New Roman" w:cs="Times New Roman"/>
          <w:b/>
          <w:sz w:val="28"/>
          <w:szCs w:val="28"/>
        </w:rPr>
        <w:t>значениях</w:t>
      </w:r>
      <w:proofErr w:type="gramEnd"/>
      <w:r w:rsidRPr="0098432C">
        <w:rPr>
          <w:rFonts w:ascii="Times New Roman" w:hAnsi="Times New Roman" w:cs="Times New Roman"/>
          <w:b/>
          <w:sz w:val="28"/>
          <w:szCs w:val="28"/>
        </w:rPr>
        <w:t xml:space="preserve"> на трехлетний период</w:t>
      </w:r>
    </w:p>
    <w:p w:rsidR="00D87FFE" w:rsidRPr="0098432C" w:rsidRDefault="00D87FFE" w:rsidP="00D87FFE">
      <w:pPr>
        <w:pStyle w:val="ConsPlusNonformat"/>
        <w:spacing w:line="276" w:lineRule="auto"/>
        <w:jc w:val="center"/>
        <w:rPr>
          <w:rFonts w:ascii="Times New Roman" w:hAnsi="Times New Roman" w:cs="Times New Roman"/>
          <w:sz w:val="24"/>
          <w:szCs w:val="24"/>
        </w:rPr>
      </w:pPr>
    </w:p>
    <w:p w:rsidR="00D87FFE" w:rsidRDefault="00D87FFE" w:rsidP="00D87FFE">
      <w:pPr>
        <w:pStyle w:val="ConsPlusNonformat"/>
        <w:spacing w:line="276" w:lineRule="auto"/>
        <w:jc w:val="center"/>
        <w:rPr>
          <w:rFonts w:ascii="Times New Roman" w:hAnsi="Times New Roman" w:cs="Times New Roman"/>
          <w:sz w:val="24"/>
          <w:szCs w:val="24"/>
        </w:rPr>
      </w:pPr>
    </w:p>
    <w:p w:rsidR="00D87FFE" w:rsidRPr="0098432C" w:rsidRDefault="00D87FFE" w:rsidP="00D87FFE">
      <w:pPr>
        <w:pStyle w:val="ConsPlusNonformat"/>
        <w:spacing w:line="276" w:lineRule="auto"/>
        <w:jc w:val="center"/>
        <w:rPr>
          <w:rFonts w:ascii="Times New Roman" w:hAnsi="Times New Roman" w:cs="Times New Roman"/>
          <w:sz w:val="24"/>
          <w:szCs w:val="24"/>
        </w:rPr>
      </w:pP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sidRPr="0098432C">
        <w:rPr>
          <w:rFonts w:ascii="Times New Roman" w:hAnsi="Times New Roman" w:cs="Times New Roman"/>
          <w:sz w:val="24"/>
          <w:szCs w:val="24"/>
        </w:rPr>
        <w:t>________________________</w:t>
      </w: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sidRPr="0098432C">
        <w:rPr>
          <w:rFonts w:ascii="Times New Roman" w:hAnsi="Times New Roman" w:cs="Times New Roman"/>
          <w:sz w:val="24"/>
          <w:szCs w:val="24"/>
        </w:rPr>
        <w:t>(подпись)</w:t>
      </w: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  26</w:t>
      </w:r>
      <w:r w:rsidRPr="0098432C">
        <w:rPr>
          <w:rFonts w:ascii="Times New Roman" w:hAnsi="Times New Roman" w:cs="Times New Roman"/>
          <w:sz w:val="24"/>
          <w:szCs w:val="24"/>
          <w:u w:val="single"/>
        </w:rPr>
        <w:t xml:space="preserve">  </w:t>
      </w:r>
      <w:r w:rsidRPr="0098432C">
        <w:rPr>
          <w:rFonts w:ascii="Times New Roman" w:hAnsi="Times New Roman" w:cs="Times New Roman"/>
          <w:sz w:val="24"/>
          <w:szCs w:val="24"/>
        </w:rPr>
        <w:t xml:space="preserve"> апреля 2019 года</w:t>
      </w:r>
    </w:p>
    <w:p w:rsidR="00D87FFE" w:rsidRDefault="00D87FFE" w:rsidP="00D87FFE"/>
    <w:p w:rsidR="00D87FFE" w:rsidRDefault="00D87FFE" w:rsidP="00D87FFE"/>
    <w:p w:rsidR="00D87FFE" w:rsidRPr="00547E1A" w:rsidRDefault="00D87FFE" w:rsidP="00D87FFE"/>
    <w:p w:rsidR="00D87FFE" w:rsidRDefault="00D87FFE" w:rsidP="00D87FFE">
      <w:pPr>
        <w:rPr>
          <w:sz w:val="36"/>
          <w:szCs w:val="36"/>
        </w:rPr>
      </w:pPr>
    </w:p>
    <w:p w:rsidR="00D87FFE" w:rsidRDefault="00D87FFE" w:rsidP="00D87FFE">
      <w:pPr>
        <w:pageBreakBefore/>
        <w:jc w:val="center"/>
        <w:rPr>
          <w:rFonts w:eastAsia="Times New Roman"/>
          <w:b/>
          <w:bCs/>
          <w:lang w:eastAsia="ru-RU"/>
        </w:rPr>
        <w:sectPr w:rsidR="00D87FFE" w:rsidSect="00D87FFE">
          <w:pgSz w:w="11905" w:h="16838" w:code="9"/>
          <w:pgMar w:top="1134" w:right="794" w:bottom="1134" w:left="1361" w:header="0" w:footer="284" w:gutter="0"/>
          <w:cols w:space="708"/>
          <w:titlePg/>
          <w:docGrid w:linePitch="326"/>
        </w:sectPr>
      </w:pPr>
    </w:p>
    <w:p w:rsidR="00D87FFE" w:rsidRDefault="00D87FFE" w:rsidP="00D87FFE">
      <w:pPr>
        <w:pageBreakBefore/>
        <w:jc w:val="center"/>
        <w:rPr>
          <w:rFonts w:eastAsia="Times New Roman"/>
          <w:b/>
          <w:bCs/>
          <w:lang w:eastAsia="ru-RU"/>
        </w:rPr>
      </w:pPr>
      <w:r w:rsidRPr="004C3479">
        <w:rPr>
          <w:rFonts w:eastAsia="Times New Roman"/>
          <w:b/>
          <w:bCs/>
          <w:lang w:eastAsia="ru-RU"/>
        </w:rPr>
        <w:lastRenderedPageBreak/>
        <w:t>I. Показатели эффективности деятельности органов местного самоуправления Сосновоборского городского округа</w:t>
      </w:r>
    </w:p>
    <w:p w:rsidR="00D87FFE" w:rsidRPr="006E5DC0" w:rsidRDefault="00D87FFE" w:rsidP="00D87FFE">
      <w:pPr>
        <w:jc w:val="cente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3"/>
        <w:gridCol w:w="3372"/>
        <w:gridCol w:w="1559"/>
        <w:gridCol w:w="1276"/>
        <w:gridCol w:w="1275"/>
        <w:gridCol w:w="1276"/>
        <w:gridCol w:w="1276"/>
        <w:gridCol w:w="1276"/>
        <w:gridCol w:w="1417"/>
        <w:gridCol w:w="2410"/>
      </w:tblGrid>
      <w:tr w:rsidR="00D87FFE" w:rsidRPr="00753485" w:rsidTr="006758D4">
        <w:trPr>
          <w:tblHeader/>
        </w:trPr>
        <w:tc>
          <w:tcPr>
            <w:tcW w:w="513" w:type="dxa"/>
            <w:vMerge w:val="restart"/>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 </w:t>
            </w:r>
          </w:p>
        </w:tc>
        <w:tc>
          <w:tcPr>
            <w:tcW w:w="3372" w:type="dxa"/>
            <w:vMerge w:val="restart"/>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Наименование показателя</w:t>
            </w:r>
          </w:p>
        </w:tc>
        <w:tc>
          <w:tcPr>
            <w:tcW w:w="1559" w:type="dxa"/>
            <w:vMerge w:val="restart"/>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Единица измерения</w:t>
            </w:r>
          </w:p>
        </w:tc>
        <w:tc>
          <w:tcPr>
            <w:tcW w:w="3827" w:type="dxa"/>
            <w:gridSpan w:val="3"/>
            <w:shd w:val="clear" w:color="auto" w:fill="auto"/>
            <w:vAlign w:val="center"/>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Отчет</w:t>
            </w:r>
          </w:p>
        </w:tc>
        <w:tc>
          <w:tcPr>
            <w:tcW w:w="3969" w:type="dxa"/>
            <w:gridSpan w:val="3"/>
            <w:shd w:val="clear" w:color="auto" w:fill="auto"/>
            <w:vAlign w:val="center"/>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План</w:t>
            </w:r>
          </w:p>
        </w:tc>
        <w:tc>
          <w:tcPr>
            <w:tcW w:w="2410" w:type="dxa"/>
            <w:vMerge w:val="restart"/>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Примечание</w:t>
            </w:r>
          </w:p>
        </w:tc>
      </w:tr>
      <w:tr w:rsidR="00D87FFE" w:rsidRPr="00753485" w:rsidTr="006758D4">
        <w:trPr>
          <w:tblHeader/>
        </w:trPr>
        <w:tc>
          <w:tcPr>
            <w:tcW w:w="513" w:type="dxa"/>
            <w:vMerge/>
            <w:tcBorders>
              <w:bottom w:val="single" w:sz="4" w:space="0" w:color="auto"/>
            </w:tcBorders>
            <w:vAlign w:val="center"/>
            <w:hideMark/>
          </w:tcPr>
          <w:p w:rsidR="00D87FFE" w:rsidRPr="00753485" w:rsidRDefault="00D87FFE" w:rsidP="006758D4">
            <w:pPr>
              <w:jc w:val="left"/>
              <w:rPr>
                <w:rFonts w:eastAsia="Times New Roman"/>
                <w:b/>
                <w:bCs/>
                <w:color w:val="333333"/>
                <w:lang w:eastAsia="ru-RU"/>
              </w:rPr>
            </w:pPr>
          </w:p>
        </w:tc>
        <w:tc>
          <w:tcPr>
            <w:tcW w:w="3372" w:type="dxa"/>
            <w:vMerge/>
            <w:tcBorders>
              <w:bottom w:val="single" w:sz="4" w:space="0" w:color="auto"/>
            </w:tcBorders>
            <w:vAlign w:val="center"/>
            <w:hideMark/>
          </w:tcPr>
          <w:p w:rsidR="00D87FFE" w:rsidRPr="00753485" w:rsidRDefault="00D87FFE" w:rsidP="006758D4">
            <w:pPr>
              <w:jc w:val="left"/>
              <w:rPr>
                <w:rFonts w:eastAsia="Times New Roman"/>
                <w:b/>
                <w:bCs/>
                <w:color w:val="333333"/>
                <w:lang w:eastAsia="ru-RU"/>
              </w:rPr>
            </w:pPr>
          </w:p>
        </w:tc>
        <w:tc>
          <w:tcPr>
            <w:tcW w:w="1559" w:type="dxa"/>
            <w:vMerge/>
            <w:tcBorders>
              <w:bottom w:val="single" w:sz="4" w:space="0" w:color="auto"/>
            </w:tcBorders>
            <w:vAlign w:val="center"/>
            <w:hideMark/>
          </w:tcPr>
          <w:p w:rsidR="00D87FFE" w:rsidRPr="00753485" w:rsidRDefault="00D87FFE" w:rsidP="006758D4">
            <w:pPr>
              <w:jc w:val="left"/>
              <w:rPr>
                <w:rFonts w:eastAsia="Times New Roman"/>
                <w:b/>
                <w:bCs/>
                <w:color w:val="333333"/>
                <w:lang w:eastAsia="ru-RU"/>
              </w:rPr>
            </w:pPr>
          </w:p>
        </w:tc>
        <w:tc>
          <w:tcPr>
            <w:tcW w:w="1276" w:type="dxa"/>
            <w:tcBorders>
              <w:bottom w:val="single" w:sz="4" w:space="0" w:color="auto"/>
            </w:tcBorders>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2016</w:t>
            </w:r>
          </w:p>
        </w:tc>
        <w:tc>
          <w:tcPr>
            <w:tcW w:w="1275" w:type="dxa"/>
            <w:tcBorders>
              <w:bottom w:val="single" w:sz="4" w:space="0" w:color="auto"/>
            </w:tcBorders>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2017</w:t>
            </w:r>
          </w:p>
        </w:tc>
        <w:tc>
          <w:tcPr>
            <w:tcW w:w="1276" w:type="dxa"/>
            <w:tcBorders>
              <w:bottom w:val="single" w:sz="4" w:space="0" w:color="auto"/>
            </w:tcBorders>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2018</w:t>
            </w:r>
          </w:p>
        </w:tc>
        <w:tc>
          <w:tcPr>
            <w:tcW w:w="1276" w:type="dxa"/>
            <w:tcBorders>
              <w:bottom w:val="single" w:sz="4" w:space="0" w:color="auto"/>
            </w:tcBorders>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2019</w:t>
            </w:r>
          </w:p>
        </w:tc>
        <w:tc>
          <w:tcPr>
            <w:tcW w:w="1276" w:type="dxa"/>
            <w:tcBorders>
              <w:bottom w:val="single" w:sz="4" w:space="0" w:color="auto"/>
            </w:tcBorders>
            <w:shd w:val="clear" w:color="auto" w:fill="auto"/>
            <w:vAlign w:val="center"/>
            <w:hideMark/>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2020</w:t>
            </w:r>
          </w:p>
        </w:tc>
        <w:tc>
          <w:tcPr>
            <w:tcW w:w="1417" w:type="dxa"/>
            <w:tcBorders>
              <w:bottom w:val="single" w:sz="4" w:space="0" w:color="auto"/>
            </w:tcBorders>
            <w:vAlign w:val="center"/>
          </w:tcPr>
          <w:p w:rsidR="00D87FFE" w:rsidRPr="00753485" w:rsidRDefault="00D87FFE" w:rsidP="006758D4">
            <w:pPr>
              <w:jc w:val="center"/>
              <w:rPr>
                <w:rFonts w:eastAsia="Times New Roman"/>
                <w:b/>
                <w:bCs/>
                <w:color w:val="333333"/>
                <w:lang w:eastAsia="ru-RU"/>
              </w:rPr>
            </w:pPr>
            <w:r w:rsidRPr="00753485">
              <w:rPr>
                <w:rFonts w:eastAsia="Times New Roman"/>
                <w:b/>
                <w:bCs/>
                <w:color w:val="333333"/>
                <w:lang w:eastAsia="ru-RU"/>
              </w:rPr>
              <w:t>2021</w:t>
            </w:r>
          </w:p>
        </w:tc>
        <w:tc>
          <w:tcPr>
            <w:tcW w:w="2410" w:type="dxa"/>
            <w:vMerge/>
            <w:tcBorders>
              <w:bottom w:val="single" w:sz="4" w:space="0" w:color="auto"/>
            </w:tcBorders>
            <w:vAlign w:val="center"/>
            <w:hideMark/>
          </w:tcPr>
          <w:p w:rsidR="00D87FFE" w:rsidRPr="00753485" w:rsidRDefault="00D87FFE" w:rsidP="006758D4">
            <w:pPr>
              <w:jc w:val="left"/>
              <w:rPr>
                <w:rFonts w:eastAsia="Times New Roman"/>
                <w:b/>
                <w:bCs/>
                <w:color w:val="333333"/>
                <w:lang w:eastAsia="ru-RU"/>
              </w:rPr>
            </w:pPr>
          </w:p>
        </w:tc>
      </w:tr>
      <w:tr w:rsidR="00D87FFE" w:rsidRPr="004C3479" w:rsidTr="006758D4">
        <w:tc>
          <w:tcPr>
            <w:tcW w:w="5444" w:type="dxa"/>
            <w:gridSpan w:val="3"/>
            <w:tcBorders>
              <w:right w:val="nil"/>
            </w:tcBorders>
            <w:shd w:val="clear" w:color="auto" w:fill="auto"/>
            <w:vAlign w:val="center"/>
            <w:hideMark/>
          </w:tcPr>
          <w:p w:rsidR="00D87FFE" w:rsidRPr="004C3479" w:rsidRDefault="00D87FFE" w:rsidP="006758D4">
            <w:pPr>
              <w:spacing w:before="120" w:after="120"/>
              <w:jc w:val="center"/>
              <w:rPr>
                <w:rFonts w:eastAsia="Times New Roman"/>
                <w:b/>
                <w:color w:val="333333"/>
                <w:lang w:eastAsia="ru-RU"/>
              </w:rPr>
            </w:pPr>
            <w:r w:rsidRPr="004C3479">
              <w:rPr>
                <w:rFonts w:eastAsia="Times New Roman"/>
                <w:b/>
                <w:color w:val="333333"/>
                <w:lang w:eastAsia="ru-RU"/>
              </w:rPr>
              <w:t>I. Экономическое развитие</w:t>
            </w:r>
          </w:p>
        </w:tc>
        <w:tc>
          <w:tcPr>
            <w:tcW w:w="1276" w:type="dxa"/>
            <w:tcBorders>
              <w:left w:val="nil"/>
              <w:right w:val="nil"/>
            </w:tcBorders>
            <w:shd w:val="clear" w:color="auto" w:fill="auto"/>
            <w:noWrap/>
            <w:vAlign w:val="center"/>
            <w:hideMark/>
          </w:tcPr>
          <w:p w:rsidR="00D87FFE" w:rsidRPr="004C3479" w:rsidRDefault="00D87FFE" w:rsidP="006758D4">
            <w:pPr>
              <w:spacing w:before="120" w:after="120"/>
              <w:jc w:val="center"/>
              <w:rPr>
                <w:rFonts w:eastAsia="Times New Roman"/>
                <w:b/>
                <w:lang w:eastAsia="ru-RU"/>
              </w:rPr>
            </w:pPr>
            <w:r w:rsidRPr="004C3479">
              <w:rPr>
                <w:rFonts w:eastAsia="Times New Roman"/>
                <w:b/>
                <w:lang w:eastAsia="ru-RU"/>
              </w:rPr>
              <w:t> </w:t>
            </w:r>
          </w:p>
        </w:tc>
        <w:tc>
          <w:tcPr>
            <w:tcW w:w="1275" w:type="dxa"/>
            <w:tcBorders>
              <w:left w:val="nil"/>
              <w:right w:val="nil"/>
            </w:tcBorders>
            <w:shd w:val="clear" w:color="auto" w:fill="auto"/>
            <w:noWrap/>
            <w:vAlign w:val="center"/>
            <w:hideMark/>
          </w:tcPr>
          <w:p w:rsidR="00D87FFE" w:rsidRPr="004C3479" w:rsidRDefault="00D87FFE" w:rsidP="006758D4">
            <w:pPr>
              <w:spacing w:before="120" w:after="120"/>
              <w:jc w:val="center"/>
              <w:rPr>
                <w:rFonts w:eastAsia="Times New Roman"/>
                <w:b/>
                <w:lang w:eastAsia="ru-RU"/>
              </w:rPr>
            </w:pPr>
            <w:r w:rsidRPr="004C3479">
              <w:rPr>
                <w:rFonts w:eastAsia="Times New Roman"/>
                <w:b/>
                <w:lang w:eastAsia="ru-RU"/>
              </w:rPr>
              <w:t> </w:t>
            </w:r>
          </w:p>
        </w:tc>
        <w:tc>
          <w:tcPr>
            <w:tcW w:w="1276" w:type="dxa"/>
            <w:tcBorders>
              <w:left w:val="nil"/>
              <w:right w:val="nil"/>
            </w:tcBorders>
            <w:shd w:val="clear" w:color="auto" w:fill="auto"/>
            <w:noWrap/>
            <w:vAlign w:val="center"/>
            <w:hideMark/>
          </w:tcPr>
          <w:p w:rsidR="00D87FFE" w:rsidRPr="004C3479" w:rsidRDefault="00D87FFE" w:rsidP="006758D4">
            <w:pPr>
              <w:spacing w:before="120" w:after="120"/>
              <w:jc w:val="center"/>
              <w:rPr>
                <w:rFonts w:eastAsia="Times New Roman"/>
                <w:b/>
                <w:lang w:eastAsia="ru-RU"/>
              </w:rPr>
            </w:pPr>
            <w:r w:rsidRPr="004C3479">
              <w:rPr>
                <w:rFonts w:eastAsia="Times New Roman"/>
                <w:b/>
                <w:lang w:eastAsia="ru-RU"/>
              </w:rPr>
              <w:t> </w:t>
            </w:r>
          </w:p>
        </w:tc>
        <w:tc>
          <w:tcPr>
            <w:tcW w:w="1276" w:type="dxa"/>
            <w:tcBorders>
              <w:left w:val="nil"/>
              <w:right w:val="nil"/>
            </w:tcBorders>
            <w:shd w:val="clear" w:color="auto" w:fill="auto"/>
            <w:noWrap/>
            <w:vAlign w:val="center"/>
            <w:hideMark/>
          </w:tcPr>
          <w:p w:rsidR="00D87FFE" w:rsidRPr="004C3479" w:rsidRDefault="00D87FFE" w:rsidP="006758D4">
            <w:pPr>
              <w:spacing w:before="120" w:after="120"/>
              <w:jc w:val="center"/>
              <w:rPr>
                <w:rFonts w:eastAsia="Times New Roman"/>
                <w:b/>
                <w:lang w:eastAsia="ru-RU"/>
              </w:rPr>
            </w:pPr>
            <w:r w:rsidRPr="004C3479">
              <w:rPr>
                <w:rFonts w:eastAsia="Times New Roman"/>
                <w:b/>
                <w:lang w:eastAsia="ru-RU"/>
              </w:rPr>
              <w:t> </w:t>
            </w:r>
          </w:p>
        </w:tc>
        <w:tc>
          <w:tcPr>
            <w:tcW w:w="1276" w:type="dxa"/>
            <w:tcBorders>
              <w:left w:val="nil"/>
              <w:right w:val="nil"/>
            </w:tcBorders>
            <w:shd w:val="clear" w:color="auto" w:fill="auto"/>
            <w:noWrap/>
            <w:vAlign w:val="center"/>
            <w:hideMark/>
          </w:tcPr>
          <w:p w:rsidR="00D87FFE" w:rsidRPr="004C3479" w:rsidRDefault="00D87FFE" w:rsidP="006758D4">
            <w:pPr>
              <w:spacing w:before="120" w:after="120"/>
              <w:jc w:val="center"/>
              <w:rPr>
                <w:rFonts w:eastAsia="Times New Roman"/>
                <w:b/>
                <w:lang w:eastAsia="ru-RU"/>
              </w:rPr>
            </w:pPr>
            <w:r w:rsidRPr="004C3479">
              <w:rPr>
                <w:rFonts w:eastAsia="Times New Roman"/>
                <w:b/>
                <w:lang w:eastAsia="ru-RU"/>
              </w:rPr>
              <w:t> </w:t>
            </w:r>
          </w:p>
        </w:tc>
        <w:tc>
          <w:tcPr>
            <w:tcW w:w="1417" w:type="dxa"/>
            <w:tcBorders>
              <w:left w:val="nil"/>
              <w:right w:val="nil"/>
            </w:tcBorders>
            <w:vAlign w:val="center"/>
          </w:tcPr>
          <w:p w:rsidR="00D87FFE" w:rsidRPr="004C3479"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4C3479" w:rsidRDefault="00D87FFE" w:rsidP="006758D4">
            <w:pPr>
              <w:spacing w:before="120" w:after="120"/>
              <w:jc w:val="left"/>
              <w:rPr>
                <w:rFonts w:eastAsia="Times New Roman"/>
                <w:b/>
                <w:lang w:eastAsia="ru-RU"/>
              </w:rPr>
            </w:pPr>
            <w:r w:rsidRPr="004C3479">
              <w:rPr>
                <w:rFonts w:eastAsia="Times New Roman"/>
                <w:b/>
                <w:lang w:eastAsia="ru-RU"/>
              </w:rPr>
              <w:t> </w:t>
            </w:r>
          </w:p>
        </w:tc>
      </w:tr>
      <w:tr w:rsidR="00477464" w:rsidRPr="00753485" w:rsidTr="006758D4">
        <w:trPr>
          <w:cantSplit/>
        </w:trPr>
        <w:tc>
          <w:tcPr>
            <w:tcW w:w="513" w:type="dxa"/>
            <w:shd w:val="clear" w:color="auto" w:fill="auto"/>
            <w:vAlign w:val="center"/>
            <w:hideMark/>
          </w:tcPr>
          <w:p w:rsidR="00477464" w:rsidRPr="00753485" w:rsidRDefault="00477464" w:rsidP="006758D4">
            <w:pPr>
              <w:jc w:val="center"/>
              <w:rPr>
                <w:rFonts w:eastAsia="Times New Roman"/>
                <w:color w:val="333333"/>
                <w:lang w:eastAsia="ru-RU"/>
              </w:rPr>
            </w:pPr>
            <w:r w:rsidRPr="00753485">
              <w:rPr>
                <w:rFonts w:eastAsia="Times New Roman"/>
                <w:color w:val="333333"/>
                <w:lang w:eastAsia="ru-RU"/>
              </w:rPr>
              <w:t>1.</w:t>
            </w:r>
          </w:p>
        </w:tc>
        <w:tc>
          <w:tcPr>
            <w:tcW w:w="3372" w:type="dxa"/>
            <w:shd w:val="clear" w:color="auto" w:fill="auto"/>
            <w:vAlign w:val="center"/>
            <w:hideMark/>
          </w:tcPr>
          <w:p w:rsidR="00477464" w:rsidRPr="00753485" w:rsidRDefault="00477464" w:rsidP="006758D4">
            <w:pPr>
              <w:jc w:val="left"/>
              <w:rPr>
                <w:rFonts w:eastAsia="Times New Roman"/>
                <w:color w:val="333333"/>
                <w:lang w:eastAsia="ru-RU"/>
              </w:rPr>
            </w:pPr>
            <w:r w:rsidRPr="00753485">
              <w:rPr>
                <w:rFonts w:eastAsia="Times New Roman"/>
                <w:color w:val="333333"/>
                <w:lang w:eastAsia="ru-RU"/>
              </w:rPr>
              <w:t>Число субъектов малого и среднего предпринимательства</w:t>
            </w:r>
          </w:p>
        </w:tc>
        <w:tc>
          <w:tcPr>
            <w:tcW w:w="1559" w:type="dxa"/>
            <w:shd w:val="clear" w:color="auto" w:fill="auto"/>
            <w:vAlign w:val="center"/>
            <w:hideMark/>
          </w:tcPr>
          <w:p w:rsidR="00477464" w:rsidRPr="00753485" w:rsidRDefault="00477464" w:rsidP="006758D4">
            <w:pPr>
              <w:jc w:val="center"/>
              <w:rPr>
                <w:rFonts w:eastAsia="Times New Roman"/>
                <w:color w:val="333333"/>
                <w:lang w:eastAsia="ru-RU"/>
              </w:rPr>
            </w:pPr>
            <w:r w:rsidRPr="00753485">
              <w:rPr>
                <w:rFonts w:eastAsia="Times New Roman"/>
                <w:color w:val="333333"/>
                <w:lang w:eastAsia="ru-RU"/>
              </w:rPr>
              <w:t>единиц на 10 тыс. человек населения</w:t>
            </w:r>
          </w:p>
        </w:tc>
        <w:tc>
          <w:tcPr>
            <w:tcW w:w="1276" w:type="dxa"/>
            <w:shd w:val="clear" w:color="auto" w:fill="auto"/>
            <w:noWrap/>
            <w:vAlign w:val="center"/>
            <w:hideMark/>
          </w:tcPr>
          <w:p w:rsidR="00477464" w:rsidRPr="00F5032D" w:rsidRDefault="00477464" w:rsidP="00381631">
            <w:pPr>
              <w:jc w:val="center"/>
            </w:pPr>
            <w:r w:rsidRPr="00F5032D">
              <w:t>196,8</w:t>
            </w:r>
          </w:p>
        </w:tc>
        <w:tc>
          <w:tcPr>
            <w:tcW w:w="1275" w:type="dxa"/>
            <w:shd w:val="clear" w:color="auto" w:fill="auto"/>
            <w:noWrap/>
            <w:vAlign w:val="center"/>
            <w:hideMark/>
          </w:tcPr>
          <w:p w:rsidR="00477464" w:rsidRPr="00F5032D" w:rsidRDefault="00477464" w:rsidP="00381631">
            <w:pPr>
              <w:jc w:val="center"/>
            </w:pPr>
            <w:r w:rsidRPr="00F5032D">
              <w:t>231,9</w:t>
            </w:r>
          </w:p>
        </w:tc>
        <w:tc>
          <w:tcPr>
            <w:tcW w:w="1276" w:type="dxa"/>
            <w:shd w:val="clear" w:color="auto" w:fill="auto"/>
            <w:noWrap/>
            <w:vAlign w:val="center"/>
            <w:hideMark/>
          </w:tcPr>
          <w:p w:rsidR="00477464" w:rsidRPr="00F5032D" w:rsidRDefault="00477464" w:rsidP="00381631">
            <w:pPr>
              <w:jc w:val="center"/>
            </w:pPr>
            <w:r w:rsidRPr="00F5032D">
              <w:t>284,4</w:t>
            </w:r>
          </w:p>
        </w:tc>
        <w:tc>
          <w:tcPr>
            <w:tcW w:w="1276" w:type="dxa"/>
            <w:shd w:val="clear" w:color="auto" w:fill="auto"/>
            <w:noWrap/>
            <w:vAlign w:val="center"/>
            <w:hideMark/>
          </w:tcPr>
          <w:p w:rsidR="00477464" w:rsidRPr="00F5032D" w:rsidRDefault="00477464" w:rsidP="00381631">
            <w:pPr>
              <w:jc w:val="center"/>
            </w:pPr>
            <w:r w:rsidRPr="00F5032D">
              <w:t>295</w:t>
            </w:r>
          </w:p>
        </w:tc>
        <w:tc>
          <w:tcPr>
            <w:tcW w:w="1276" w:type="dxa"/>
            <w:shd w:val="clear" w:color="auto" w:fill="auto"/>
            <w:noWrap/>
            <w:vAlign w:val="center"/>
            <w:hideMark/>
          </w:tcPr>
          <w:p w:rsidR="00477464" w:rsidRPr="00F5032D" w:rsidRDefault="00477464" w:rsidP="00381631">
            <w:pPr>
              <w:jc w:val="center"/>
            </w:pPr>
            <w:r w:rsidRPr="00F5032D">
              <w:t>305</w:t>
            </w:r>
          </w:p>
        </w:tc>
        <w:tc>
          <w:tcPr>
            <w:tcW w:w="1417" w:type="dxa"/>
            <w:vAlign w:val="center"/>
          </w:tcPr>
          <w:p w:rsidR="00477464" w:rsidRPr="00F5032D" w:rsidRDefault="00477464" w:rsidP="00381631">
            <w:pPr>
              <w:jc w:val="center"/>
            </w:pPr>
            <w:r w:rsidRPr="00F5032D">
              <w:t>315</w:t>
            </w:r>
          </w:p>
        </w:tc>
        <w:tc>
          <w:tcPr>
            <w:tcW w:w="2410" w:type="dxa"/>
            <w:shd w:val="clear" w:color="auto" w:fill="auto"/>
            <w:vAlign w:val="center"/>
            <w:hideMark/>
          </w:tcPr>
          <w:p w:rsidR="00477464" w:rsidRPr="00753485" w:rsidRDefault="00477464" w:rsidP="006758D4">
            <w:pPr>
              <w:jc w:val="left"/>
              <w:rPr>
                <w:rFonts w:eastAsia="Times New Roman"/>
                <w:lang w:eastAsia="ru-RU"/>
              </w:rPr>
            </w:pPr>
            <w:r w:rsidRPr="00753485">
              <w:rPr>
                <w:rFonts w:eastAsia="Times New Roman"/>
                <w:lang w:eastAsia="ru-RU"/>
              </w:rPr>
              <w:t> </w:t>
            </w:r>
          </w:p>
        </w:tc>
      </w:tr>
      <w:tr w:rsidR="00477464" w:rsidRPr="00753485" w:rsidTr="006758D4">
        <w:tc>
          <w:tcPr>
            <w:tcW w:w="513" w:type="dxa"/>
            <w:shd w:val="clear" w:color="auto" w:fill="auto"/>
            <w:vAlign w:val="center"/>
            <w:hideMark/>
          </w:tcPr>
          <w:p w:rsidR="00477464" w:rsidRPr="00753485" w:rsidRDefault="00477464" w:rsidP="006758D4">
            <w:pPr>
              <w:jc w:val="center"/>
              <w:rPr>
                <w:rFonts w:eastAsia="Times New Roman"/>
                <w:color w:val="333333"/>
                <w:lang w:eastAsia="ru-RU"/>
              </w:rPr>
            </w:pPr>
            <w:r w:rsidRPr="00753485">
              <w:rPr>
                <w:rFonts w:eastAsia="Times New Roman"/>
                <w:color w:val="333333"/>
                <w:lang w:eastAsia="ru-RU"/>
              </w:rPr>
              <w:t>2.</w:t>
            </w:r>
          </w:p>
        </w:tc>
        <w:tc>
          <w:tcPr>
            <w:tcW w:w="3372" w:type="dxa"/>
            <w:shd w:val="clear" w:color="auto" w:fill="auto"/>
            <w:vAlign w:val="center"/>
            <w:hideMark/>
          </w:tcPr>
          <w:p w:rsidR="00477464" w:rsidRPr="00753485" w:rsidRDefault="00477464" w:rsidP="006758D4">
            <w:pPr>
              <w:jc w:val="left"/>
              <w:rPr>
                <w:rFonts w:eastAsia="Times New Roman"/>
                <w:color w:val="333333"/>
                <w:lang w:eastAsia="ru-RU"/>
              </w:rPr>
            </w:pPr>
            <w:r w:rsidRPr="00753485">
              <w:rPr>
                <w:rFonts w:eastAsia="Times New Roman"/>
                <w:color w:val="333333"/>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shd w:val="clear" w:color="auto" w:fill="auto"/>
            <w:vAlign w:val="center"/>
            <w:hideMark/>
          </w:tcPr>
          <w:p w:rsidR="00477464" w:rsidRPr="00753485" w:rsidRDefault="00477464"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477464" w:rsidRPr="00F5032D" w:rsidRDefault="00477464" w:rsidP="00381631">
            <w:pPr>
              <w:jc w:val="center"/>
            </w:pPr>
            <w:r w:rsidRPr="00F5032D">
              <w:t>21,1</w:t>
            </w:r>
          </w:p>
        </w:tc>
        <w:tc>
          <w:tcPr>
            <w:tcW w:w="1275" w:type="dxa"/>
            <w:shd w:val="clear" w:color="auto" w:fill="auto"/>
            <w:noWrap/>
            <w:vAlign w:val="center"/>
            <w:hideMark/>
          </w:tcPr>
          <w:p w:rsidR="00477464" w:rsidRPr="00F5032D" w:rsidRDefault="00477464" w:rsidP="00381631">
            <w:pPr>
              <w:jc w:val="center"/>
            </w:pPr>
            <w:r w:rsidRPr="00F5032D">
              <w:t>20,9</w:t>
            </w:r>
          </w:p>
        </w:tc>
        <w:tc>
          <w:tcPr>
            <w:tcW w:w="1276" w:type="dxa"/>
            <w:shd w:val="clear" w:color="auto" w:fill="auto"/>
            <w:noWrap/>
            <w:vAlign w:val="center"/>
            <w:hideMark/>
          </w:tcPr>
          <w:p w:rsidR="00477464" w:rsidRPr="00F5032D" w:rsidRDefault="00477464" w:rsidP="00381631">
            <w:pPr>
              <w:jc w:val="center"/>
            </w:pPr>
            <w:r w:rsidRPr="00F5032D">
              <w:t>22,1</w:t>
            </w:r>
          </w:p>
        </w:tc>
        <w:tc>
          <w:tcPr>
            <w:tcW w:w="1276" w:type="dxa"/>
            <w:shd w:val="clear" w:color="auto" w:fill="auto"/>
            <w:noWrap/>
            <w:vAlign w:val="center"/>
            <w:hideMark/>
          </w:tcPr>
          <w:p w:rsidR="00477464" w:rsidRPr="00F5032D" w:rsidRDefault="00477464" w:rsidP="00381631">
            <w:pPr>
              <w:jc w:val="center"/>
            </w:pPr>
            <w:r w:rsidRPr="00F5032D">
              <w:t>22,3</w:t>
            </w:r>
          </w:p>
        </w:tc>
        <w:tc>
          <w:tcPr>
            <w:tcW w:w="1276" w:type="dxa"/>
            <w:shd w:val="clear" w:color="auto" w:fill="auto"/>
            <w:noWrap/>
            <w:vAlign w:val="center"/>
            <w:hideMark/>
          </w:tcPr>
          <w:p w:rsidR="00477464" w:rsidRPr="00F5032D" w:rsidRDefault="00477464" w:rsidP="00381631">
            <w:pPr>
              <w:jc w:val="center"/>
            </w:pPr>
            <w:r w:rsidRPr="00F5032D">
              <w:t>22,4</w:t>
            </w:r>
          </w:p>
        </w:tc>
        <w:tc>
          <w:tcPr>
            <w:tcW w:w="1417" w:type="dxa"/>
            <w:vAlign w:val="center"/>
          </w:tcPr>
          <w:p w:rsidR="00477464" w:rsidRPr="00F5032D" w:rsidRDefault="00477464" w:rsidP="00381631">
            <w:pPr>
              <w:jc w:val="center"/>
            </w:pPr>
            <w:r w:rsidRPr="00F5032D">
              <w:t>22,5</w:t>
            </w:r>
          </w:p>
        </w:tc>
        <w:tc>
          <w:tcPr>
            <w:tcW w:w="2410" w:type="dxa"/>
            <w:shd w:val="clear" w:color="auto" w:fill="auto"/>
            <w:vAlign w:val="center"/>
            <w:hideMark/>
          </w:tcPr>
          <w:p w:rsidR="00477464" w:rsidRPr="00753485" w:rsidRDefault="00477464"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Объем инвестиций в основной капитал (за исключением бюджетных средств) в расчете на 1 жителя</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652227</w:t>
            </w:r>
          </w:p>
        </w:tc>
        <w:tc>
          <w:tcPr>
            <w:tcW w:w="1275" w:type="dxa"/>
            <w:shd w:val="clear" w:color="auto" w:fill="auto"/>
            <w:noWrap/>
            <w:vAlign w:val="center"/>
            <w:hideMark/>
          </w:tcPr>
          <w:p w:rsidR="00D87FFE" w:rsidRPr="00753485" w:rsidRDefault="00D87FFE" w:rsidP="006758D4">
            <w:pPr>
              <w:jc w:val="center"/>
            </w:pPr>
            <w:r w:rsidRPr="00753485">
              <w:t>659674</w:t>
            </w:r>
          </w:p>
        </w:tc>
        <w:tc>
          <w:tcPr>
            <w:tcW w:w="1276" w:type="dxa"/>
            <w:shd w:val="clear" w:color="auto" w:fill="auto"/>
            <w:noWrap/>
            <w:vAlign w:val="center"/>
            <w:hideMark/>
          </w:tcPr>
          <w:p w:rsidR="00D87FFE" w:rsidRPr="00753485" w:rsidRDefault="00D87FFE" w:rsidP="006758D4">
            <w:pPr>
              <w:jc w:val="center"/>
              <w:rPr>
                <w:bCs/>
              </w:rPr>
            </w:pPr>
            <w:r w:rsidRPr="00753485">
              <w:rPr>
                <w:bCs/>
              </w:rPr>
              <w:t>553932</w:t>
            </w:r>
          </w:p>
        </w:tc>
        <w:tc>
          <w:tcPr>
            <w:tcW w:w="1276" w:type="dxa"/>
            <w:shd w:val="clear" w:color="auto" w:fill="auto"/>
            <w:noWrap/>
            <w:vAlign w:val="center"/>
            <w:hideMark/>
          </w:tcPr>
          <w:p w:rsidR="00D87FFE" w:rsidRPr="00753485" w:rsidRDefault="00D87FFE" w:rsidP="006758D4">
            <w:pPr>
              <w:jc w:val="center"/>
            </w:pPr>
            <w:r w:rsidRPr="00753485">
              <w:t>484898</w:t>
            </w:r>
          </w:p>
        </w:tc>
        <w:tc>
          <w:tcPr>
            <w:tcW w:w="1276" w:type="dxa"/>
            <w:shd w:val="clear" w:color="auto" w:fill="auto"/>
            <w:noWrap/>
            <w:vAlign w:val="center"/>
            <w:hideMark/>
          </w:tcPr>
          <w:p w:rsidR="00D87FFE" w:rsidRPr="00753485" w:rsidRDefault="00D87FFE" w:rsidP="006758D4">
            <w:pPr>
              <w:jc w:val="center"/>
            </w:pPr>
            <w:r w:rsidRPr="00753485">
              <w:t>364036</w:t>
            </w:r>
          </w:p>
        </w:tc>
        <w:tc>
          <w:tcPr>
            <w:tcW w:w="1417" w:type="dxa"/>
            <w:vAlign w:val="center"/>
          </w:tcPr>
          <w:p w:rsidR="00D87FFE" w:rsidRPr="00753485" w:rsidRDefault="00D87FFE" w:rsidP="006758D4">
            <w:pPr>
              <w:jc w:val="center"/>
            </w:pPr>
            <w:r w:rsidRPr="00753485">
              <w:t>169859</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4.</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14,8</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55,2</w:t>
            </w:r>
          </w:p>
        </w:tc>
        <w:tc>
          <w:tcPr>
            <w:tcW w:w="1276" w:type="dxa"/>
            <w:shd w:val="clear" w:color="auto" w:fill="auto"/>
            <w:noWrap/>
            <w:vAlign w:val="center"/>
            <w:hideMark/>
          </w:tcPr>
          <w:p w:rsidR="00D87FFE" w:rsidRDefault="00D87FFE" w:rsidP="006758D4">
            <w:pPr>
              <w:jc w:val="center"/>
            </w:pPr>
            <w:r>
              <w:t>55,4</w:t>
            </w:r>
          </w:p>
        </w:tc>
        <w:tc>
          <w:tcPr>
            <w:tcW w:w="1276" w:type="dxa"/>
            <w:shd w:val="clear" w:color="auto" w:fill="auto"/>
            <w:noWrap/>
            <w:vAlign w:val="center"/>
            <w:hideMark/>
          </w:tcPr>
          <w:p w:rsidR="00D87FFE" w:rsidRDefault="00D87FFE" w:rsidP="006758D4">
            <w:pPr>
              <w:jc w:val="center"/>
            </w:pPr>
            <w:r>
              <w:t>55,6</w:t>
            </w:r>
          </w:p>
        </w:tc>
        <w:tc>
          <w:tcPr>
            <w:tcW w:w="1276" w:type="dxa"/>
            <w:shd w:val="clear" w:color="auto" w:fill="auto"/>
            <w:noWrap/>
            <w:vAlign w:val="center"/>
            <w:hideMark/>
          </w:tcPr>
          <w:p w:rsidR="00D87FFE" w:rsidRDefault="00D87FFE" w:rsidP="006758D4">
            <w:pPr>
              <w:jc w:val="center"/>
            </w:pPr>
            <w:r>
              <w:t>55,8</w:t>
            </w:r>
          </w:p>
        </w:tc>
        <w:tc>
          <w:tcPr>
            <w:tcW w:w="1417" w:type="dxa"/>
            <w:vAlign w:val="center"/>
          </w:tcPr>
          <w:p w:rsidR="00D87FFE" w:rsidRDefault="00D87FFE" w:rsidP="006758D4">
            <w:pPr>
              <w:jc w:val="center"/>
            </w:pPr>
            <w:r>
              <w:t>56,0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5.</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Доля прибыльных сельскохозяйственных </w:t>
            </w:r>
            <w:proofErr w:type="gramStart"/>
            <w:r w:rsidRPr="00753485">
              <w:rPr>
                <w:rFonts w:eastAsia="Times New Roman"/>
                <w:color w:val="333333"/>
                <w:lang w:eastAsia="ru-RU"/>
              </w:rPr>
              <w:t>организаций</w:t>
            </w:r>
            <w:proofErr w:type="gramEnd"/>
            <w:r w:rsidRPr="00753485">
              <w:rPr>
                <w:rFonts w:eastAsia="Times New Roman"/>
                <w:color w:val="333333"/>
                <w:lang w:eastAsia="ru-RU"/>
              </w:rPr>
              <w:t xml:space="preserve"> в общем их числе</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100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6.</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Доля протяженности автомобильных дорог общего пользования местного </w:t>
            </w:r>
            <w:r w:rsidRPr="00753485">
              <w:rPr>
                <w:rFonts w:eastAsia="Times New Roman"/>
                <w:color w:val="333333"/>
                <w:lang w:eastAsia="ru-RU"/>
              </w:rPr>
              <w:lastRenderedPageBreak/>
              <w:t>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15,50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15,50</w:t>
            </w:r>
          </w:p>
        </w:tc>
        <w:tc>
          <w:tcPr>
            <w:tcW w:w="1276" w:type="dxa"/>
            <w:shd w:val="clear" w:color="auto" w:fill="auto"/>
            <w:noWrap/>
            <w:vAlign w:val="center"/>
            <w:hideMark/>
          </w:tcPr>
          <w:p w:rsidR="00D87FFE" w:rsidRPr="000818D3" w:rsidRDefault="00D87FFE" w:rsidP="006758D4">
            <w:pPr>
              <w:jc w:val="center"/>
            </w:pPr>
            <w:r w:rsidRPr="000818D3">
              <w:t>69,90</w:t>
            </w:r>
          </w:p>
        </w:tc>
        <w:tc>
          <w:tcPr>
            <w:tcW w:w="1276" w:type="dxa"/>
            <w:shd w:val="clear" w:color="auto" w:fill="auto"/>
            <w:noWrap/>
            <w:vAlign w:val="center"/>
            <w:hideMark/>
          </w:tcPr>
          <w:p w:rsidR="00D87FFE" w:rsidRPr="000818D3" w:rsidRDefault="00D87FFE" w:rsidP="006758D4">
            <w:pPr>
              <w:jc w:val="center"/>
            </w:pPr>
            <w:r w:rsidRPr="000818D3">
              <w:t>71,81</w:t>
            </w:r>
          </w:p>
        </w:tc>
        <w:tc>
          <w:tcPr>
            <w:tcW w:w="1276" w:type="dxa"/>
            <w:shd w:val="clear" w:color="auto" w:fill="auto"/>
            <w:noWrap/>
            <w:vAlign w:val="center"/>
            <w:hideMark/>
          </w:tcPr>
          <w:p w:rsidR="00D87FFE" w:rsidRPr="000818D3" w:rsidRDefault="00D87FFE" w:rsidP="006758D4">
            <w:pPr>
              <w:jc w:val="center"/>
            </w:pPr>
            <w:r w:rsidRPr="000818D3">
              <w:t>73,59</w:t>
            </w:r>
          </w:p>
        </w:tc>
        <w:tc>
          <w:tcPr>
            <w:tcW w:w="1417" w:type="dxa"/>
            <w:vAlign w:val="center"/>
          </w:tcPr>
          <w:p w:rsidR="00D87FFE" w:rsidRPr="000818D3" w:rsidRDefault="00D87FFE" w:rsidP="006758D4">
            <w:pPr>
              <w:jc w:val="center"/>
            </w:pPr>
            <w:r w:rsidRPr="000818D3">
              <w:t>76,32</w:t>
            </w:r>
          </w:p>
        </w:tc>
        <w:tc>
          <w:tcPr>
            <w:tcW w:w="2410" w:type="dxa"/>
            <w:shd w:val="clear" w:color="auto" w:fill="auto"/>
            <w:vAlign w:val="center"/>
            <w:hideMark/>
          </w:tcPr>
          <w:p w:rsidR="00D87FFE" w:rsidRPr="00753485" w:rsidRDefault="00D87FFE" w:rsidP="006758D4">
            <w:pPr>
              <w:jc w:val="left"/>
              <w:rPr>
                <w:rFonts w:eastAsia="Times New Roman"/>
                <w:lang w:eastAsia="ru-RU"/>
              </w:rPr>
            </w:pPr>
          </w:p>
        </w:tc>
      </w:tr>
      <w:tr w:rsidR="00D87FFE" w:rsidRPr="00753485" w:rsidTr="006758D4">
        <w:tc>
          <w:tcPr>
            <w:tcW w:w="513"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7.</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417" w:type="dxa"/>
            <w:vAlign w:val="center"/>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8.</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Среднемесячная номинальная начисленная заработная плата работников:</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417" w:type="dxa"/>
            <w:vAlign w:val="center"/>
          </w:tcPr>
          <w:p w:rsidR="00D87FFE" w:rsidRPr="00753485" w:rsidRDefault="00D87FFE" w:rsidP="006758D4">
            <w:pPr>
              <w:jc w:val="center"/>
              <w:rPr>
                <w:rFonts w:eastAsia="Times New Roman"/>
                <w:lang w:eastAsia="ru-RU"/>
              </w:rPr>
            </w:pP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крупных и средних предприятий и некоммерческих организаций</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56678</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62320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68345</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72582</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76647</w:t>
            </w:r>
          </w:p>
        </w:tc>
        <w:tc>
          <w:tcPr>
            <w:tcW w:w="1417" w:type="dxa"/>
            <w:vAlign w:val="center"/>
          </w:tcPr>
          <w:p w:rsidR="00D87FFE" w:rsidRPr="00753485" w:rsidRDefault="00D87FFE" w:rsidP="006758D4">
            <w:pPr>
              <w:jc w:val="center"/>
              <w:rPr>
                <w:rFonts w:eastAsia="Times New Roman"/>
                <w:lang w:eastAsia="ru-RU"/>
              </w:rPr>
            </w:pPr>
            <w:r w:rsidRPr="00753485">
              <w:rPr>
                <w:rFonts w:eastAsia="Times New Roman"/>
                <w:lang w:eastAsia="ru-RU"/>
              </w:rPr>
              <w:t>81246</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муниципальных дошкольных образовательных учреждений</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28353</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31</w:t>
            </w:r>
            <w:r w:rsidRPr="00753485">
              <w:rPr>
                <w:rFonts w:eastAsia="Times New Roman"/>
                <w:lang w:eastAsia="ru-RU"/>
              </w:rPr>
              <w:t>921,9</w:t>
            </w:r>
          </w:p>
        </w:tc>
        <w:tc>
          <w:tcPr>
            <w:tcW w:w="1276" w:type="dxa"/>
            <w:shd w:val="clear" w:color="auto" w:fill="auto"/>
            <w:noWrap/>
            <w:vAlign w:val="center"/>
            <w:hideMark/>
          </w:tcPr>
          <w:p w:rsidR="00D87FFE" w:rsidRPr="00D9698A" w:rsidRDefault="00D87FFE" w:rsidP="006758D4">
            <w:pPr>
              <w:jc w:val="center"/>
            </w:pPr>
            <w:r w:rsidRPr="00D9698A">
              <w:t>34828</w:t>
            </w:r>
          </w:p>
        </w:tc>
        <w:tc>
          <w:tcPr>
            <w:tcW w:w="1276" w:type="dxa"/>
            <w:shd w:val="clear" w:color="auto" w:fill="auto"/>
            <w:noWrap/>
            <w:vAlign w:val="center"/>
            <w:hideMark/>
          </w:tcPr>
          <w:p w:rsidR="00D87FFE" w:rsidRPr="00D9698A" w:rsidRDefault="00D87FFE" w:rsidP="006758D4">
            <w:pPr>
              <w:jc w:val="center"/>
            </w:pPr>
            <w:r w:rsidRPr="00D9698A">
              <w:t>35872,8</w:t>
            </w:r>
          </w:p>
        </w:tc>
        <w:tc>
          <w:tcPr>
            <w:tcW w:w="1276" w:type="dxa"/>
            <w:shd w:val="clear" w:color="auto" w:fill="auto"/>
            <w:noWrap/>
            <w:vAlign w:val="center"/>
            <w:hideMark/>
          </w:tcPr>
          <w:p w:rsidR="00D87FFE" w:rsidRPr="00D9698A" w:rsidRDefault="00D87FFE" w:rsidP="006758D4">
            <w:pPr>
              <w:jc w:val="center"/>
            </w:pPr>
            <w:r w:rsidRPr="00D9698A">
              <w:t>37307,7</w:t>
            </w:r>
          </w:p>
        </w:tc>
        <w:tc>
          <w:tcPr>
            <w:tcW w:w="1417" w:type="dxa"/>
            <w:vAlign w:val="center"/>
          </w:tcPr>
          <w:p w:rsidR="00D87FFE" w:rsidRPr="00D9698A" w:rsidRDefault="00D87FFE" w:rsidP="006758D4">
            <w:pPr>
              <w:jc w:val="center"/>
            </w:pPr>
            <w:r w:rsidRPr="00D9698A">
              <w:t>38800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муниципальных общеобразовательных учреждений:</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36</w:t>
            </w:r>
            <w:r w:rsidRPr="00753485">
              <w:rPr>
                <w:rFonts w:eastAsia="Times New Roman"/>
                <w:lang w:eastAsia="ru-RU"/>
              </w:rPr>
              <w:t>330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38</w:t>
            </w:r>
            <w:r w:rsidRPr="00753485">
              <w:rPr>
                <w:rFonts w:eastAsia="Times New Roman"/>
                <w:lang w:eastAsia="ru-RU"/>
              </w:rPr>
              <w:t>515,7</w:t>
            </w:r>
          </w:p>
        </w:tc>
        <w:tc>
          <w:tcPr>
            <w:tcW w:w="1276" w:type="dxa"/>
            <w:shd w:val="clear" w:color="auto" w:fill="auto"/>
            <w:noWrap/>
            <w:vAlign w:val="center"/>
            <w:hideMark/>
          </w:tcPr>
          <w:p w:rsidR="00D87FFE" w:rsidRPr="00D9698A" w:rsidRDefault="00D87FFE" w:rsidP="006758D4">
            <w:pPr>
              <w:jc w:val="center"/>
            </w:pPr>
            <w:r w:rsidRPr="00D9698A">
              <w:t>41315</w:t>
            </w:r>
          </w:p>
        </w:tc>
        <w:tc>
          <w:tcPr>
            <w:tcW w:w="1276" w:type="dxa"/>
            <w:shd w:val="clear" w:color="auto" w:fill="auto"/>
            <w:noWrap/>
            <w:vAlign w:val="center"/>
            <w:hideMark/>
          </w:tcPr>
          <w:p w:rsidR="00D87FFE" w:rsidRPr="00D9698A" w:rsidRDefault="00D87FFE" w:rsidP="006758D4">
            <w:pPr>
              <w:jc w:val="center"/>
            </w:pPr>
            <w:r w:rsidRPr="00D9698A">
              <w:t>44338,5</w:t>
            </w:r>
          </w:p>
        </w:tc>
        <w:tc>
          <w:tcPr>
            <w:tcW w:w="1276" w:type="dxa"/>
            <w:shd w:val="clear" w:color="auto" w:fill="auto"/>
            <w:noWrap/>
            <w:vAlign w:val="center"/>
            <w:hideMark/>
          </w:tcPr>
          <w:p w:rsidR="00D87FFE" w:rsidRPr="00D9698A" w:rsidRDefault="00D87FFE" w:rsidP="006758D4">
            <w:pPr>
              <w:jc w:val="center"/>
            </w:pPr>
            <w:r w:rsidRPr="00D9698A">
              <w:t>46006,4</w:t>
            </w:r>
          </w:p>
        </w:tc>
        <w:tc>
          <w:tcPr>
            <w:tcW w:w="1417" w:type="dxa"/>
            <w:vAlign w:val="center"/>
          </w:tcPr>
          <w:p w:rsidR="00D87FFE" w:rsidRPr="00D9698A" w:rsidRDefault="00D87FFE" w:rsidP="006758D4">
            <w:pPr>
              <w:jc w:val="center"/>
            </w:pPr>
            <w:r w:rsidRPr="00D9698A">
              <w:t>47825,9</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учителей муниципальных общеобразовательных учреждений</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37</w:t>
            </w:r>
            <w:r w:rsidRPr="00753485">
              <w:rPr>
                <w:rFonts w:eastAsia="Times New Roman"/>
                <w:lang w:eastAsia="ru-RU"/>
              </w:rPr>
              <w:t>923</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39</w:t>
            </w:r>
            <w:r w:rsidRPr="00753485">
              <w:rPr>
                <w:rFonts w:eastAsia="Times New Roman"/>
                <w:lang w:eastAsia="ru-RU"/>
              </w:rPr>
              <w:t>808,6</w:t>
            </w:r>
          </w:p>
        </w:tc>
        <w:tc>
          <w:tcPr>
            <w:tcW w:w="1276" w:type="dxa"/>
            <w:shd w:val="clear" w:color="auto" w:fill="auto"/>
            <w:noWrap/>
            <w:vAlign w:val="center"/>
            <w:hideMark/>
          </w:tcPr>
          <w:p w:rsidR="00D87FFE" w:rsidRPr="00D9698A" w:rsidRDefault="00D87FFE" w:rsidP="006758D4">
            <w:pPr>
              <w:jc w:val="center"/>
            </w:pPr>
            <w:r w:rsidRPr="00D9698A">
              <w:t>42180,8</w:t>
            </w:r>
          </w:p>
        </w:tc>
        <w:tc>
          <w:tcPr>
            <w:tcW w:w="1276" w:type="dxa"/>
            <w:shd w:val="clear" w:color="auto" w:fill="auto"/>
            <w:noWrap/>
            <w:vAlign w:val="center"/>
            <w:hideMark/>
          </w:tcPr>
          <w:p w:rsidR="00D87FFE" w:rsidRPr="00D9698A" w:rsidRDefault="00D87FFE" w:rsidP="006758D4">
            <w:pPr>
              <w:jc w:val="center"/>
            </w:pPr>
            <w:r w:rsidRPr="00D9698A">
              <w:t>44960,9</w:t>
            </w:r>
          </w:p>
        </w:tc>
        <w:tc>
          <w:tcPr>
            <w:tcW w:w="1276" w:type="dxa"/>
            <w:shd w:val="clear" w:color="auto" w:fill="auto"/>
            <w:noWrap/>
            <w:vAlign w:val="center"/>
            <w:hideMark/>
          </w:tcPr>
          <w:p w:rsidR="00D87FFE" w:rsidRPr="00D9698A" w:rsidRDefault="00D87FFE" w:rsidP="006758D4">
            <w:pPr>
              <w:jc w:val="center"/>
            </w:pPr>
            <w:r w:rsidRPr="00D9698A">
              <w:t>46249,7</w:t>
            </w:r>
          </w:p>
        </w:tc>
        <w:tc>
          <w:tcPr>
            <w:tcW w:w="1417" w:type="dxa"/>
            <w:vAlign w:val="center"/>
          </w:tcPr>
          <w:p w:rsidR="00D87FFE" w:rsidRPr="00D9698A" w:rsidRDefault="00D87FFE" w:rsidP="006758D4">
            <w:pPr>
              <w:jc w:val="center"/>
            </w:pPr>
            <w:r w:rsidRPr="00D9698A">
              <w:t>48430,2</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lastRenderedPageBreak/>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муниципальных учреждений культуры и искусства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26</w:t>
            </w:r>
            <w:r w:rsidRPr="00753485">
              <w:rPr>
                <w:rFonts w:eastAsia="Times New Roman"/>
                <w:lang w:eastAsia="ru-RU"/>
              </w:rPr>
              <w:t>793</w:t>
            </w:r>
          </w:p>
        </w:tc>
        <w:tc>
          <w:tcPr>
            <w:tcW w:w="1275" w:type="dxa"/>
            <w:shd w:val="clear" w:color="auto" w:fill="auto"/>
            <w:noWrap/>
            <w:vAlign w:val="center"/>
            <w:hideMark/>
          </w:tcPr>
          <w:p w:rsidR="00D87FFE" w:rsidRDefault="00D87FFE" w:rsidP="006758D4">
            <w:pPr>
              <w:jc w:val="center"/>
            </w:pPr>
            <w:r>
              <w:t>32156,39</w:t>
            </w:r>
          </w:p>
        </w:tc>
        <w:tc>
          <w:tcPr>
            <w:tcW w:w="1276" w:type="dxa"/>
            <w:shd w:val="clear" w:color="auto" w:fill="auto"/>
            <w:noWrap/>
            <w:vAlign w:val="center"/>
            <w:hideMark/>
          </w:tcPr>
          <w:p w:rsidR="00D87FFE" w:rsidRDefault="00D87FFE" w:rsidP="006758D4">
            <w:pPr>
              <w:jc w:val="center"/>
            </w:pPr>
            <w:r>
              <w:t>41841,36</w:t>
            </w:r>
          </w:p>
        </w:tc>
        <w:tc>
          <w:tcPr>
            <w:tcW w:w="1276" w:type="dxa"/>
            <w:shd w:val="clear" w:color="auto" w:fill="auto"/>
            <w:noWrap/>
            <w:vAlign w:val="center"/>
            <w:hideMark/>
          </w:tcPr>
          <w:p w:rsidR="00D87FFE" w:rsidRDefault="00D87FFE" w:rsidP="006758D4">
            <w:pPr>
              <w:jc w:val="center"/>
            </w:pPr>
            <w:r>
              <w:t>42594,87</w:t>
            </w:r>
          </w:p>
        </w:tc>
        <w:tc>
          <w:tcPr>
            <w:tcW w:w="1276" w:type="dxa"/>
            <w:shd w:val="clear" w:color="auto" w:fill="auto"/>
            <w:noWrap/>
            <w:vAlign w:val="center"/>
            <w:hideMark/>
          </w:tcPr>
          <w:p w:rsidR="00D87FFE" w:rsidRDefault="00D87FFE" w:rsidP="006758D4">
            <w:pPr>
              <w:jc w:val="center"/>
            </w:pPr>
            <w:r>
              <w:t>42600</w:t>
            </w:r>
          </w:p>
        </w:tc>
        <w:tc>
          <w:tcPr>
            <w:tcW w:w="1417" w:type="dxa"/>
            <w:vAlign w:val="center"/>
          </w:tcPr>
          <w:p w:rsidR="00D87FFE" w:rsidRDefault="00D87FFE" w:rsidP="006758D4">
            <w:pPr>
              <w:jc w:val="center"/>
            </w:pPr>
            <w:r>
              <w:t>44304</w:t>
            </w:r>
          </w:p>
        </w:tc>
        <w:tc>
          <w:tcPr>
            <w:tcW w:w="2410" w:type="dxa"/>
            <w:shd w:val="clear" w:color="auto" w:fill="auto"/>
            <w:vAlign w:val="center"/>
            <w:hideMark/>
          </w:tcPr>
          <w:p w:rsidR="00D87FFE" w:rsidRDefault="00D87FFE" w:rsidP="006758D4">
            <w:pPr>
              <w:jc w:val="left"/>
              <w:rPr>
                <w:sz w:val="18"/>
                <w:szCs w:val="18"/>
              </w:rPr>
            </w:pPr>
          </w:p>
        </w:tc>
      </w:tr>
      <w:tr w:rsidR="00D87FFE" w:rsidRPr="00753485" w:rsidTr="006758D4">
        <w:tc>
          <w:tcPr>
            <w:tcW w:w="513" w:type="dxa"/>
            <w:tcBorders>
              <w:top w:val="nil"/>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tcBorders>
              <w:bottom w:val="single" w:sz="4" w:space="0" w:color="auto"/>
            </w:tcBorders>
            <w:shd w:val="clear" w:color="auto" w:fill="auto"/>
            <w:vAlign w:val="center"/>
            <w:hideMark/>
          </w:tcPr>
          <w:p w:rsidR="00D87FFE" w:rsidRPr="00CB51D1" w:rsidRDefault="00D87FFE" w:rsidP="006758D4">
            <w:pPr>
              <w:jc w:val="left"/>
              <w:rPr>
                <w:rFonts w:eastAsia="Times New Roman"/>
                <w:color w:val="333333"/>
                <w:lang w:eastAsia="ru-RU"/>
              </w:rPr>
            </w:pPr>
            <w:r w:rsidRPr="00CB51D1">
              <w:rPr>
                <w:rFonts w:eastAsia="Times New Roman"/>
                <w:color w:val="333333"/>
                <w:lang w:eastAsia="ru-RU"/>
              </w:rPr>
              <w:t>муниципальных учреждений физической культуры и спорта</w:t>
            </w:r>
          </w:p>
        </w:tc>
        <w:tc>
          <w:tcPr>
            <w:tcW w:w="1559" w:type="dxa"/>
            <w:tcBorders>
              <w:bottom w:val="single" w:sz="4" w:space="0" w:color="auto"/>
            </w:tcBorders>
            <w:shd w:val="clear" w:color="auto" w:fill="auto"/>
            <w:vAlign w:val="center"/>
            <w:hideMark/>
          </w:tcPr>
          <w:p w:rsidR="00D87FFE" w:rsidRPr="00CB51D1" w:rsidRDefault="00D87FFE" w:rsidP="006758D4">
            <w:pPr>
              <w:jc w:val="center"/>
              <w:rPr>
                <w:rFonts w:eastAsia="Times New Roman"/>
                <w:color w:val="333333"/>
                <w:lang w:eastAsia="ru-RU"/>
              </w:rPr>
            </w:pPr>
            <w:r w:rsidRPr="00CB51D1">
              <w:rPr>
                <w:rFonts w:eastAsia="Times New Roman"/>
                <w:color w:val="333333"/>
                <w:lang w:eastAsia="ru-RU"/>
              </w:rPr>
              <w:t>рублей</w:t>
            </w:r>
          </w:p>
        </w:tc>
        <w:tc>
          <w:tcPr>
            <w:tcW w:w="1276" w:type="dxa"/>
            <w:tcBorders>
              <w:bottom w:val="single" w:sz="4" w:space="0" w:color="auto"/>
            </w:tcBorders>
            <w:shd w:val="clear" w:color="auto" w:fill="auto"/>
            <w:noWrap/>
            <w:vAlign w:val="center"/>
            <w:hideMark/>
          </w:tcPr>
          <w:p w:rsidR="00D87FFE" w:rsidRPr="00CB51D1" w:rsidRDefault="00D87FFE" w:rsidP="006758D4">
            <w:pPr>
              <w:jc w:val="center"/>
              <w:rPr>
                <w:rFonts w:eastAsia="Times New Roman"/>
                <w:lang w:eastAsia="ru-RU"/>
              </w:rPr>
            </w:pPr>
            <w:r w:rsidRPr="00CB51D1">
              <w:rPr>
                <w:rFonts w:eastAsia="Times New Roman"/>
                <w:lang w:eastAsia="ru-RU"/>
              </w:rPr>
              <w:t>36526</w:t>
            </w:r>
          </w:p>
        </w:tc>
        <w:tc>
          <w:tcPr>
            <w:tcW w:w="1275" w:type="dxa"/>
            <w:tcBorders>
              <w:bottom w:val="single" w:sz="4" w:space="0" w:color="auto"/>
            </w:tcBorders>
            <w:shd w:val="clear" w:color="auto" w:fill="auto"/>
            <w:noWrap/>
            <w:vAlign w:val="center"/>
            <w:hideMark/>
          </w:tcPr>
          <w:p w:rsidR="00D87FFE" w:rsidRPr="00CB51D1" w:rsidRDefault="00D87FFE" w:rsidP="006758D4">
            <w:pPr>
              <w:jc w:val="center"/>
              <w:rPr>
                <w:rFonts w:eastAsia="Times New Roman"/>
                <w:lang w:eastAsia="ru-RU"/>
              </w:rPr>
            </w:pPr>
            <w:r w:rsidRPr="00CB51D1">
              <w:rPr>
                <w:rFonts w:eastAsia="Times New Roman"/>
                <w:lang w:eastAsia="ru-RU"/>
              </w:rPr>
              <w:t>39860</w:t>
            </w:r>
          </w:p>
        </w:tc>
        <w:tc>
          <w:tcPr>
            <w:tcW w:w="1276" w:type="dxa"/>
            <w:tcBorders>
              <w:bottom w:val="single" w:sz="4" w:space="0" w:color="auto"/>
            </w:tcBorders>
            <w:shd w:val="clear" w:color="auto" w:fill="auto"/>
            <w:noWrap/>
            <w:vAlign w:val="center"/>
            <w:hideMark/>
          </w:tcPr>
          <w:p w:rsidR="00D87FFE" w:rsidRDefault="00D87FFE" w:rsidP="006758D4">
            <w:pPr>
              <w:jc w:val="center"/>
            </w:pPr>
            <w:r>
              <w:rPr>
                <w:rFonts w:eastAsia="Times New Roman"/>
                <w:lang w:eastAsia="ru-RU"/>
              </w:rPr>
              <w:t>37793</w:t>
            </w:r>
          </w:p>
        </w:tc>
        <w:tc>
          <w:tcPr>
            <w:tcW w:w="1276" w:type="dxa"/>
            <w:tcBorders>
              <w:bottom w:val="single" w:sz="4" w:space="0" w:color="auto"/>
            </w:tcBorders>
            <w:shd w:val="clear" w:color="auto" w:fill="auto"/>
            <w:noWrap/>
            <w:vAlign w:val="center"/>
            <w:hideMark/>
          </w:tcPr>
          <w:p w:rsidR="00D87FFE" w:rsidRDefault="00D87FFE" w:rsidP="006758D4">
            <w:pPr>
              <w:jc w:val="center"/>
            </w:pPr>
            <w:r>
              <w:t>45870</w:t>
            </w:r>
          </w:p>
        </w:tc>
        <w:tc>
          <w:tcPr>
            <w:tcW w:w="1276" w:type="dxa"/>
            <w:tcBorders>
              <w:bottom w:val="single" w:sz="4" w:space="0" w:color="auto"/>
            </w:tcBorders>
            <w:shd w:val="clear" w:color="auto" w:fill="auto"/>
            <w:noWrap/>
            <w:vAlign w:val="center"/>
            <w:hideMark/>
          </w:tcPr>
          <w:p w:rsidR="00D87FFE" w:rsidRDefault="00D87FFE" w:rsidP="006758D4">
            <w:pPr>
              <w:jc w:val="center"/>
            </w:pPr>
            <w:r>
              <w:t>47705</w:t>
            </w:r>
          </w:p>
        </w:tc>
        <w:tc>
          <w:tcPr>
            <w:tcW w:w="1417" w:type="dxa"/>
            <w:tcBorders>
              <w:bottom w:val="single" w:sz="4" w:space="0" w:color="auto"/>
            </w:tcBorders>
            <w:vAlign w:val="center"/>
          </w:tcPr>
          <w:p w:rsidR="00D87FFE" w:rsidRDefault="00D87FFE" w:rsidP="006758D4">
            <w:pPr>
              <w:jc w:val="center"/>
            </w:pPr>
            <w:r>
              <w:t>49613</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II. Дошкольное образование</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97071D" w:rsidTr="006758D4">
        <w:tc>
          <w:tcPr>
            <w:tcW w:w="513" w:type="dxa"/>
            <w:shd w:val="clear" w:color="auto" w:fill="auto"/>
            <w:vAlign w:val="center"/>
            <w:hideMark/>
          </w:tcPr>
          <w:p w:rsidR="00D87FFE" w:rsidRPr="00EF0B29" w:rsidRDefault="00D87FFE" w:rsidP="006758D4">
            <w:pPr>
              <w:jc w:val="center"/>
              <w:rPr>
                <w:rFonts w:eastAsia="Times New Roman"/>
                <w:color w:val="333333"/>
                <w:lang w:eastAsia="ru-RU"/>
              </w:rPr>
            </w:pPr>
            <w:r w:rsidRPr="00EF0B29">
              <w:rPr>
                <w:rFonts w:eastAsia="Times New Roman"/>
                <w:color w:val="333333"/>
                <w:lang w:eastAsia="ru-RU"/>
              </w:rPr>
              <w:t>9.</w:t>
            </w:r>
          </w:p>
        </w:tc>
        <w:tc>
          <w:tcPr>
            <w:tcW w:w="3372" w:type="dxa"/>
            <w:shd w:val="clear" w:color="auto" w:fill="auto"/>
            <w:vAlign w:val="center"/>
            <w:hideMark/>
          </w:tcPr>
          <w:p w:rsidR="00D87FFE" w:rsidRPr="00EF0B29" w:rsidRDefault="00D87FFE" w:rsidP="006758D4">
            <w:pPr>
              <w:jc w:val="left"/>
              <w:rPr>
                <w:rFonts w:eastAsia="Times New Roman"/>
                <w:color w:val="333333"/>
                <w:lang w:eastAsia="ru-RU"/>
              </w:rPr>
            </w:pPr>
            <w:r w:rsidRPr="00EF0B29">
              <w:rPr>
                <w:rFonts w:eastAsia="Times New Roman"/>
                <w:color w:val="333333"/>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shd w:val="clear" w:color="auto" w:fill="auto"/>
            <w:vAlign w:val="center"/>
            <w:hideMark/>
          </w:tcPr>
          <w:p w:rsidR="00D87FFE" w:rsidRPr="00EF0B29" w:rsidRDefault="00D87FFE" w:rsidP="006758D4">
            <w:pPr>
              <w:jc w:val="center"/>
              <w:rPr>
                <w:rFonts w:eastAsia="Times New Roman"/>
                <w:color w:val="333333"/>
                <w:lang w:eastAsia="ru-RU"/>
              </w:rPr>
            </w:pPr>
            <w:r w:rsidRPr="00EF0B29">
              <w:rPr>
                <w:rFonts w:eastAsia="Times New Roman"/>
                <w:color w:val="333333"/>
                <w:lang w:eastAsia="ru-RU"/>
              </w:rPr>
              <w:t>процентов</w:t>
            </w:r>
          </w:p>
        </w:tc>
        <w:tc>
          <w:tcPr>
            <w:tcW w:w="1276" w:type="dxa"/>
            <w:shd w:val="clear" w:color="auto" w:fill="auto"/>
            <w:noWrap/>
            <w:vAlign w:val="center"/>
            <w:hideMark/>
          </w:tcPr>
          <w:p w:rsidR="00D87FFE" w:rsidRPr="00EF0B29" w:rsidRDefault="00D87FFE" w:rsidP="006758D4">
            <w:pPr>
              <w:jc w:val="center"/>
              <w:rPr>
                <w:rFonts w:eastAsia="Times New Roman"/>
                <w:lang w:eastAsia="ru-RU"/>
              </w:rPr>
            </w:pPr>
            <w:r w:rsidRPr="00EF0B29">
              <w:rPr>
                <w:rFonts w:eastAsia="Times New Roman"/>
                <w:lang w:eastAsia="ru-RU"/>
              </w:rPr>
              <w:t>88,00</w:t>
            </w:r>
          </w:p>
        </w:tc>
        <w:tc>
          <w:tcPr>
            <w:tcW w:w="1275" w:type="dxa"/>
            <w:shd w:val="clear" w:color="auto" w:fill="auto"/>
            <w:noWrap/>
            <w:vAlign w:val="center"/>
            <w:hideMark/>
          </w:tcPr>
          <w:p w:rsidR="00D87FFE" w:rsidRPr="00EF0B29" w:rsidRDefault="00D87FFE" w:rsidP="006758D4">
            <w:pPr>
              <w:jc w:val="center"/>
              <w:rPr>
                <w:rFonts w:eastAsia="Times New Roman"/>
                <w:lang w:eastAsia="ru-RU"/>
              </w:rPr>
            </w:pPr>
            <w:r w:rsidRPr="00EF0B29">
              <w:rPr>
                <w:rFonts w:eastAsia="Times New Roman"/>
                <w:lang w:eastAsia="ru-RU"/>
              </w:rPr>
              <w:t>87,4</w:t>
            </w:r>
          </w:p>
        </w:tc>
        <w:tc>
          <w:tcPr>
            <w:tcW w:w="1276" w:type="dxa"/>
            <w:shd w:val="clear" w:color="auto" w:fill="auto"/>
            <w:noWrap/>
            <w:vAlign w:val="center"/>
            <w:hideMark/>
          </w:tcPr>
          <w:p w:rsidR="00D87FFE" w:rsidRPr="00EF0B29" w:rsidRDefault="00D87FFE" w:rsidP="006758D4">
            <w:pPr>
              <w:jc w:val="center"/>
              <w:rPr>
                <w:rFonts w:eastAsia="Times New Roman"/>
                <w:lang w:eastAsia="ru-RU"/>
              </w:rPr>
            </w:pPr>
            <w:r>
              <w:rPr>
                <w:rFonts w:eastAsia="Times New Roman"/>
                <w:lang w:eastAsia="ru-RU"/>
              </w:rPr>
              <w:t>87</w:t>
            </w:r>
          </w:p>
        </w:tc>
        <w:tc>
          <w:tcPr>
            <w:tcW w:w="1276" w:type="dxa"/>
            <w:shd w:val="clear" w:color="auto" w:fill="auto"/>
            <w:noWrap/>
            <w:vAlign w:val="center"/>
            <w:hideMark/>
          </w:tcPr>
          <w:p w:rsidR="00D87FFE" w:rsidRPr="00EF0B29" w:rsidRDefault="00D87FFE" w:rsidP="006758D4">
            <w:pPr>
              <w:jc w:val="center"/>
              <w:rPr>
                <w:rFonts w:eastAsia="Times New Roman"/>
                <w:lang w:eastAsia="ru-RU"/>
              </w:rPr>
            </w:pPr>
            <w:r>
              <w:rPr>
                <w:rFonts w:eastAsia="Times New Roman"/>
                <w:lang w:eastAsia="ru-RU"/>
              </w:rPr>
              <w:t>87</w:t>
            </w:r>
          </w:p>
        </w:tc>
        <w:tc>
          <w:tcPr>
            <w:tcW w:w="1276" w:type="dxa"/>
            <w:shd w:val="clear" w:color="auto" w:fill="auto"/>
            <w:noWrap/>
            <w:vAlign w:val="center"/>
            <w:hideMark/>
          </w:tcPr>
          <w:p w:rsidR="00D87FFE" w:rsidRPr="00EF0B29" w:rsidRDefault="00D87FFE" w:rsidP="006758D4">
            <w:pPr>
              <w:jc w:val="center"/>
              <w:rPr>
                <w:rFonts w:eastAsia="Times New Roman"/>
                <w:lang w:eastAsia="ru-RU"/>
              </w:rPr>
            </w:pPr>
            <w:r>
              <w:rPr>
                <w:rFonts w:eastAsia="Times New Roman"/>
                <w:lang w:eastAsia="ru-RU"/>
              </w:rPr>
              <w:t>87,1</w:t>
            </w:r>
          </w:p>
        </w:tc>
        <w:tc>
          <w:tcPr>
            <w:tcW w:w="1417" w:type="dxa"/>
            <w:vAlign w:val="center"/>
          </w:tcPr>
          <w:p w:rsidR="00D87FFE" w:rsidRPr="00EF0B29" w:rsidRDefault="00D87FFE" w:rsidP="006758D4">
            <w:pPr>
              <w:jc w:val="center"/>
              <w:rPr>
                <w:rFonts w:eastAsia="Times New Roman"/>
                <w:lang w:eastAsia="ru-RU"/>
              </w:rPr>
            </w:pPr>
            <w:r>
              <w:rPr>
                <w:rFonts w:eastAsia="Times New Roman"/>
                <w:lang w:eastAsia="ru-RU"/>
              </w:rPr>
              <w:t>87,2</w:t>
            </w:r>
          </w:p>
        </w:tc>
        <w:tc>
          <w:tcPr>
            <w:tcW w:w="2410" w:type="dxa"/>
            <w:shd w:val="clear" w:color="auto" w:fill="auto"/>
            <w:vAlign w:val="center"/>
            <w:hideMark/>
          </w:tcPr>
          <w:p w:rsidR="00D87FFE" w:rsidRPr="00EF0B29" w:rsidRDefault="00D87FFE" w:rsidP="006758D4">
            <w:pPr>
              <w:jc w:val="left"/>
              <w:rPr>
                <w:rFonts w:eastAsia="Times New Roman"/>
                <w:lang w:eastAsia="ru-RU"/>
              </w:rPr>
            </w:pPr>
            <w:r w:rsidRPr="00EF0B29">
              <w:rPr>
                <w:rFonts w:eastAsia="Times New Roman"/>
                <w:lang w:eastAsia="ru-RU"/>
              </w:rPr>
              <w:t> </w:t>
            </w:r>
          </w:p>
        </w:tc>
      </w:tr>
      <w:tr w:rsidR="00D87FFE" w:rsidRPr="00753485" w:rsidTr="006758D4">
        <w:tc>
          <w:tcPr>
            <w:tcW w:w="513" w:type="dxa"/>
            <w:shd w:val="clear" w:color="auto" w:fill="auto"/>
            <w:vAlign w:val="center"/>
            <w:hideMark/>
          </w:tcPr>
          <w:p w:rsidR="00D87FFE" w:rsidRPr="00EF0B29" w:rsidRDefault="00D87FFE" w:rsidP="006758D4">
            <w:pPr>
              <w:jc w:val="center"/>
              <w:rPr>
                <w:rFonts w:eastAsia="Times New Roman"/>
                <w:color w:val="333333"/>
                <w:lang w:eastAsia="ru-RU"/>
              </w:rPr>
            </w:pPr>
            <w:r w:rsidRPr="00EF0B29">
              <w:rPr>
                <w:rFonts w:eastAsia="Times New Roman"/>
                <w:color w:val="333333"/>
                <w:lang w:eastAsia="ru-RU"/>
              </w:rPr>
              <w:t>10.</w:t>
            </w:r>
          </w:p>
        </w:tc>
        <w:tc>
          <w:tcPr>
            <w:tcW w:w="3372" w:type="dxa"/>
            <w:shd w:val="clear" w:color="auto" w:fill="auto"/>
            <w:vAlign w:val="center"/>
            <w:hideMark/>
          </w:tcPr>
          <w:p w:rsidR="00D87FFE" w:rsidRPr="00EF0B29" w:rsidRDefault="00D87FFE" w:rsidP="006758D4">
            <w:pPr>
              <w:jc w:val="left"/>
              <w:rPr>
                <w:rFonts w:eastAsia="Times New Roman"/>
                <w:color w:val="333333"/>
                <w:lang w:eastAsia="ru-RU"/>
              </w:rPr>
            </w:pPr>
            <w:r w:rsidRPr="00EF0B29">
              <w:rPr>
                <w:rFonts w:eastAsia="Times New Roman"/>
                <w:color w:val="333333"/>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9" w:type="dxa"/>
            <w:shd w:val="clear" w:color="auto" w:fill="auto"/>
            <w:vAlign w:val="center"/>
            <w:hideMark/>
          </w:tcPr>
          <w:p w:rsidR="00D87FFE" w:rsidRPr="00EF0B29" w:rsidRDefault="00D87FFE" w:rsidP="006758D4">
            <w:pPr>
              <w:jc w:val="center"/>
              <w:rPr>
                <w:rFonts w:eastAsia="Times New Roman"/>
                <w:color w:val="333333"/>
                <w:lang w:eastAsia="ru-RU"/>
              </w:rPr>
            </w:pPr>
            <w:r w:rsidRPr="00EF0B29">
              <w:rPr>
                <w:rFonts w:eastAsia="Times New Roman"/>
                <w:color w:val="333333"/>
                <w:lang w:eastAsia="ru-RU"/>
              </w:rPr>
              <w:t>процентов</w:t>
            </w:r>
          </w:p>
        </w:tc>
        <w:tc>
          <w:tcPr>
            <w:tcW w:w="1276" w:type="dxa"/>
            <w:shd w:val="clear" w:color="auto" w:fill="auto"/>
            <w:noWrap/>
            <w:vAlign w:val="center"/>
            <w:hideMark/>
          </w:tcPr>
          <w:p w:rsidR="00D87FFE" w:rsidRPr="00EF0B29" w:rsidRDefault="00D87FFE" w:rsidP="006758D4">
            <w:pPr>
              <w:jc w:val="center"/>
              <w:rPr>
                <w:rFonts w:eastAsia="Times New Roman"/>
                <w:lang w:eastAsia="ru-RU"/>
              </w:rPr>
            </w:pPr>
            <w:r w:rsidRPr="00EF0B29">
              <w:rPr>
                <w:rFonts w:eastAsia="Times New Roman"/>
                <w:lang w:eastAsia="ru-RU"/>
              </w:rPr>
              <w:t>3,00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EF0B29">
              <w:rPr>
                <w:rFonts w:eastAsia="Times New Roman"/>
                <w:lang w:eastAsia="ru-RU"/>
              </w:rPr>
              <w:t>11,59</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11,5</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11,47</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11,45</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11,45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97071D" w:rsidTr="006758D4">
        <w:tc>
          <w:tcPr>
            <w:tcW w:w="513" w:type="dxa"/>
            <w:tcBorders>
              <w:bottom w:val="single" w:sz="4" w:space="0" w:color="auto"/>
            </w:tcBorders>
            <w:shd w:val="clear" w:color="auto" w:fill="auto"/>
            <w:vAlign w:val="center"/>
            <w:hideMark/>
          </w:tcPr>
          <w:p w:rsidR="00D87FFE" w:rsidRPr="007E5409" w:rsidRDefault="00D87FFE" w:rsidP="006758D4">
            <w:pPr>
              <w:jc w:val="center"/>
              <w:rPr>
                <w:rFonts w:eastAsia="Times New Roman"/>
                <w:color w:val="333333"/>
                <w:lang w:eastAsia="ru-RU"/>
              </w:rPr>
            </w:pPr>
            <w:r w:rsidRPr="007E5409">
              <w:rPr>
                <w:rFonts w:eastAsia="Times New Roman"/>
                <w:color w:val="333333"/>
                <w:lang w:eastAsia="ru-RU"/>
              </w:rPr>
              <w:t>11.</w:t>
            </w:r>
          </w:p>
        </w:tc>
        <w:tc>
          <w:tcPr>
            <w:tcW w:w="3372" w:type="dxa"/>
            <w:tcBorders>
              <w:bottom w:val="single" w:sz="4" w:space="0" w:color="auto"/>
            </w:tcBorders>
            <w:shd w:val="clear" w:color="auto" w:fill="auto"/>
            <w:vAlign w:val="center"/>
            <w:hideMark/>
          </w:tcPr>
          <w:p w:rsidR="00D87FFE" w:rsidRPr="007E5409" w:rsidRDefault="00D87FFE" w:rsidP="006758D4">
            <w:pPr>
              <w:jc w:val="left"/>
              <w:rPr>
                <w:rFonts w:eastAsia="Times New Roman"/>
                <w:color w:val="333333"/>
                <w:lang w:eastAsia="ru-RU"/>
              </w:rPr>
            </w:pPr>
            <w:r w:rsidRPr="007E5409">
              <w:rPr>
                <w:rFonts w:eastAsia="Times New Roman"/>
                <w:color w:val="333333"/>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59" w:type="dxa"/>
            <w:tcBorders>
              <w:bottom w:val="single" w:sz="4" w:space="0" w:color="auto"/>
            </w:tcBorders>
            <w:shd w:val="clear" w:color="auto" w:fill="auto"/>
            <w:vAlign w:val="center"/>
            <w:hideMark/>
          </w:tcPr>
          <w:p w:rsidR="00D87FFE" w:rsidRPr="007E5409" w:rsidRDefault="00D87FFE" w:rsidP="006758D4">
            <w:pPr>
              <w:jc w:val="center"/>
              <w:rPr>
                <w:rFonts w:eastAsia="Times New Roman"/>
                <w:color w:val="333333"/>
                <w:lang w:eastAsia="ru-RU"/>
              </w:rPr>
            </w:pPr>
            <w:r w:rsidRPr="007E5409">
              <w:rPr>
                <w:rFonts w:eastAsia="Times New Roman"/>
                <w:color w:val="333333"/>
                <w:lang w:eastAsia="ru-RU"/>
              </w:rPr>
              <w:t>процентов</w:t>
            </w:r>
          </w:p>
        </w:tc>
        <w:tc>
          <w:tcPr>
            <w:tcW w:w="1276" w:type="dxa"/>
            <w:tcBorders>
              <w:bottom w:val="single" w:sz="4" w:space="0" w:color="auto"/>
            </w:tcBorders>
            <w:shd w:val="clear" w:color="auto" w:fill="auto"/>
            <w:noWrap/>
            <w:vAlign w:val="center"/>
            <w:hideMark/>
          </w:tcPr>
          <w:p w:rsidR="00D87FFE" w:rsidRPr="007E5409" w:rsidRDefault="00D87FFE" w:rsidP="006758D4">
            <w:pPr>
              <w:jc w:val="center"/>
              <w:rPr>
                <w:rFonts w:eastAsia="Times New Roman"/>
                <w:lang w:eastAsia="ru-RU"/>
              </w:rPr>
            </w:pPr>
            <w:r w:rsidRPr="007E5409">
              <w:rPr>
                <w:rFonts w:eastAsia="Times New Roman"/>
                <w:lang w:eastAsia="ru-RU"/>
              </w:rPr>
              <w:t>0</w:t>
            </w:r>
          </w:p>
        </w:tc>
        <w:tc>
          <w:tcPr>
            <w:tcW w:w="1275" w:type="dxa"/>
            <w:tcBorders>
              <w:bottom w:val="single" w:sz="4" w:space="0" w:color="auto"/>
            </w:tcBorders>
            <w:shd w:val="clear" w:color="auto" w:fill="auto"/>
            <w:noWrap/>
            <w:vAlign w:val="center"/>
            <w:hideMark/>
          </w:tcPr>
          <w:p w:rsidR="00D87FFE" w:rsidRPr="007E5409" w:rsidRDefault="00D87FFE" w:rsidP="006758D4">
            <w:pPr>
              <w:jc w:val="center"/>
              <w:rPr>
                <w:rFonts w:eastAsia="Times New Roman"/>
                <w:lang w:eastAsia="ru-RU"/>
              </w:rPr>
            </w:pPr>
            <w:r w:rsidRPr="007E5409">
              <w:rPr>
                <w:rFonts w:eastAsia="Times New Roman"/>
                <w:lang w:eastAsia="ru-RU"/>
              </w:rPr>
              <w:t>0</w:t>
            </w:r>
          </w:p>
        </w:tc>
        <w:tc>
          <w:tcPr>
            <w:tcW w:w="1276" w:type="dxa"/>
            <w:tcBorders>
              <w:bottom w:val="single" w:sz="4" w:space="0" w:color="auto"/>
            </w:tcBorders>
            <w:shd w:val="clear" w:color="auto" w:fill="auto"/>
            <w:noWrap/>
            <w:vAlign w:val="center"/>
            <w:hideMark/>
          </w:tcPr>
          <w:p w:rsidR="00D87FFE" w:rsidRPr="007E5409" w:rsidRDefault="00D87FFE" w:rsidP="006758D4">
            <w:pPr>
              <w:jc w:val="center"/>
              <w:rPr>
                <w:rFonts w:eastAsia="Times New Roman"/>
                <w:lang w:eastAsia="ru-RU"/>
              </w:rPr>
            </w:pPr>
            <w:r>
              <w:rPr>
                <w:rFonts w:eastAsia="Times New Roman"/>
                <w:lang w:eastAsia="ru-RU"/>
              </w:rPr>
              <w:t>0</w:t>
            </w:r>
          </w:p>
        </w:tc>
        <w:tc>
          <w:tcPr>
            <w:tcW w:w="1276" w:type="dxa"/>
            <w:tcBorders>
              <w:bottom w:val="single" w:sz="4" w:space="0" w:color="auto"/>
            </w:tcBorders>
            <w:shd w:val="clear" w:color="auto" w:fill="auto"/>
            <w:noWrap/>
            <w:vAlign w:val="center"/>
            <w:hideMark/>
          </w:tcPr>
          <w:p w:rsidR="00D87FFE" w:rsidRPr="007E5409" w:rsidRDefault="00D87FFE" w:rsidP="006758D4">
            <w:pPr>
              <w:jc w:val="center"/>
              <w:rPr>
                <w:rFonts w:eastAsia="Times New Roman"/>
                <w:lang w:eastAsia="ru-RU"/>
              </w:rPr>
            </w:pPr>
            <w:r>
              <w:rPr>
                <w:rFonts w:eastAsia="Times New Roman"/>
                <w:lang w:eastAsia="ru-RU"/>
              </w:rPr>
              <w:t>0</w:t>
            </w:r>
          </w:p>
        </w:tc>
        <w:tc>
          <w:tcPr>
            <w:tcW w:w="1276" w:type="dxa"/>
            <w:tcBorders>
              <w:bottom w:val="single" w:sz="4" w:space="0" w:color="auto"/>
            </w:tcBorders>
            <w:shd w:val="clear" w:color="auto" w:fill="auto"/>
            <w:noWrap/>
            <w:vAlign w:val="center"/>
            <w:hideMark/>
          </w:tcPr>
          <w:p w:rsidR="00D87FFE" w:rsidRPr="007E5409" w:rsidRDefault="00D87FFE" w:rsidP="006758D4">
            <w:pPr>
              <w:jc w:val="center"/>
              <w:rPr>
                <w:rFonts w:eastAsia="Times New Roman"/>
                <w:lang w:eastAsia="ru-RU"/>
              </w:rPr>
            </w:pPr>
            <w:r>
              <w:rPr>
                <w:rFonts w:eastAsia="Times New Roman"/>
                <w:lang w:eastAsia="ru-RU"/>
              </w:rPr>
              <w:t>0</w:t>
            </w:r>
          </w:p>
        </w:tc>
        <w:tc>
          <w:tcPr>
            <w:tcW w:w="1417" w:type="dxa"/>
            <w:tcBorders>
              <w:bottom w:val="single" w:sz="4" w:space="0" w:color="auto"/>
            </w:tcBorders>
            <w:vAlign w:val="center"/>
          </w:tcPr>
          <w:p w:rsidR="00D87FFE" w:rsidRPr="007E5409" w:rsidRDefault="00D87FFE" w:rsidP="006758D4">
            <w:pPr>
              <w:jc w:val="center"/>
              <w:rPr>
                <w:rFonts w:eastAsia="Times New Roman"/>
                <w:lang w:eastAsia="ru-RU"/>
              </w:rPr>
            </w:pPr>
            <w:r>
              <w:rPr>
                <w:rFonts w:eastAsia="Times New Roman"/>
                <w:lang w:eastAsia="ru-RU"/>
              </w:rPr>
              <w:t>0</w:t>
            </w:r>
          </w:p>
        </w:tc>
        <w:tc>
          <w:tcPr>
            <w:tcW w:w="2410" w:type="dxa"/>
            <w:tcBorders>
              <w:bottom w:val="single" w:sz="4" w:space="0" w:color="auto"/>
            </w:tcBorders>
            <w:shd w:val="clear" w:color="auto" w:fill="auto"/>
            <w:vAlign w:val="center"/>
            <w:hideMark/>
          </w:tcPr>
          <w:p w:rsidR="00D87FFE" w:rsidRPr="007E5409" w:rsidRDefault="00D87FFE" w:rsidP="006758D4">
            <w:pPr>
              <w:jc w:val="left"/>
              <w:rPr>
                <w:rFonts w:eastAsia="Times New Roman"/>
                <w:lang w:eastAsia="ru-RU"/>
              </w:rPr>
            </w:pPr>
            <w:r w:rsidRPr="007E5409">
              <w:rPr>
                <w:rFonts w:eastAsia="Times New Roman"/>
                <w:lang w:eastAsia="ru-RU"/>
              </w:rPr>
              <w:t> </w:t>
            </w:r>
          </w:p>
        </w:tc>
      </w:tr>
      <w:tr w:rsidR="00D87FFE" w:rsidRPr="0097071D" w:rsidTr="006758D4">
        <w:tc>
          <w:tcPr>
            <w:tcW w:w="5444" w:type="dxa"/>
            <w:gridSpan w:val="3"/>
            <w:tcBorders>
              <w:right w:val="nil"/>
            </w:tcBorders>
            <w:shd w:val="clear" w:color="auto" w:fill="auto"/>
            <w:vAlign w:val="center"/>
            <w:hideMark/>
          </w:tcPr>
          <w:p w:rsidR="00D87FFE" w:rsidRPr="005C3BC5" w:rsidRDefault="00D87FFE" w:rsidP="006758D4">
            <w:pPr>
              <w:spacing w:before="120" w:after="120"/>
              <w:jc w:val="center"/>
              <w:rPr>
                <w:rFonts w:eastAsia="Times New Roman"/>
                <w:b/>
                <w:color w:val="333333"/>
                <w:lang w:eastAsia="ru-RU"/>
              </w:rPr>
            </w:pPr>
            <w:r w:rsidRPr="005C3BC5">
              <w:rPr>
                <w:rFonts w:eastAsia="Times New Roman"/>
                <w:b/>
                <w:color w:val="333333"/>
                <w:lang w:eastAsia="ru-RU"/>
              </w:rPr>
              <w:t>III. Общее и дополнительное образование</w:t>
            </w:r>
          </w:p>
        </w:tc>
        <w:tc>
          <w:tcPr>
            <w:tcW w:w="1276" w:type="dxa"/>
            <w:tcBorders>
              <w:left w:val="nil"/>
              <w:right w:val="nil"/>
            </w:tcBorders>
            <w:shd w:val="clear" w:color="auto" w:fill="auto"/>
            <w:noWrap/>
            <w:vAlign w:val="center"/>
            <w:hideMark/>
          </w:tcPr>
          <w:p w:rsidR="00D87FFE" w:rsidRPr="005C3BC5" w:rsidRDefault="00D87FFE" w:rsidP="006758D4">
            <w:pPr>
              <w:spacing w:before="120" w:after="120"/>
              <w:jc w:val="center"/>
              <w:rPr>
                <w:rFonts w:eastAsia="Times New Roman"/>
                <w:b/>
                <w:lang w:eastAsia="ru-RU"/>
              </w:rPr>
            </w:pPr>
            <w:r w:rsidRPr="005C3BC5">
              <w:rPr>
                <w:rFonts w:eastAsia="Times New Roman"/>
                <w:b/>
                <w:lang w:eastAsia="ru-RU"/>
              </w:rPr>
              <w:t> </w:t>
            </w:r>
          </w:p>
        </w:tc>
        <w:tc>
          <w:tcPr>
            <w:tcW w:w="1275" w:type="dxa"/>
            <w:tcBorders>
              <w:left w:val="nil"/>
              <w:right w:val="nil"/>
            </w:tcBorders>
            <w:shd w:val="clear" w:color="auto" w:fill="auto"/>
            <w:noWrap/>
            <w:vAlign w:val="center"/>
            <w:hideMark/>
          </w:tcPr>
          <w:p w:rsidR="00D87FFE" w:rsidRPr="005C3BC5" w:rsidRDefault="00D87FFE" w:rsidP="006758D4">
            <w:pPr>
              <w:spacing w:before="120" w:after="120"/>
              <w:jc w:val="center"/>
              <w:rPr>
                <w:rFonts w:eastAsia="Times New Roman"/>
                <w:b/>
                <w:lang w:eastAsia="ru-RU"/>
              </w:rPr>
            </w:pPr>
            <w:r w:rsidRPr="005C3BC5">
              <w:rPr>
                <w:rFonts w:eastAsia="Times New Roman"/>
                <w:b/>
                <w:lang w:eastAsia="ru-RU"/>
              </w:rPr>
              <w:t> </w:t>
            </w:r>
          </w:p>
        </w:tc>
        <w:tc>
          <w:tcPr>
            <w:tcW w:w="1276" w:type="dxa"/>
            <w:tcBorders>
              <w:left w:val="nil"/>
              <w:right w:val="nil"/>
            </w:tcBorders>
            <w:shd w:val="clear" w:color="auto" w:fill="auto"/>
            <w:noWrap/>
            <w:vAlign w:val="center"/>
            <w:hideMark/>
          </w:tcPr>
          <w:p w:rsidR="00D87FFE" w:rsidRPr="005C3BC5"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5C3BC5"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5C3BC5"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5C3BC5"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5C3BC5" w:rsidRDefault="00D87FFE" w:rsidP="006758D4">
            <w:pPr>
              <w:spacing w:before="120" w:after="120"/>
              <w:jc w:val="left"/>
              <w:rPr>
                <w:rFonts w:eastAsia="Times New Roman"/>
                <w:b/>
                <w:lang w:eastAsia="ru-RU"/>
              </w:rPr>
            </w:pPr>
            <w:r w:rsidRPr="005C3BC5">
              <w:rPr>
                <w:rFonts w:eastAsia="Times New Roman"/>
                <w:b/>
                <w:lang w:eastAsia="ru-RU"/>
              </w:rPr>
              <w:t> </w:t>
            </w:r>
          </w:p>
        </w:tc>
      </w:tr>
      <w:tr w:rsidR="00D87FFE" w:rsidRPr="0097071D" w:rsidTr="006758D4">
        <w:tc>
          <w:tcPr>
            <w:tcW w:w="513" w:type="dxa"/>
            <w:shd w:val="clear" w:color="auto" w:fill="auto"/>
            <w:vAlign w:val="center"/>
            <w:hideMark/>
          </w:tcPr>
          <w:p w:rsidR="00D87FFE" w:rsidRPr="005C3BC5" w:rsidRDefault="00D87FFE" w:rsidP="006758D4">
            <w:pPr>
              <w:jc w:val="center"/>
              <w:rPr>
                <w:rFonts w:eastAsia="Times New Roman"/>
                <w:color w:val="333333"/>
                <w:lang w:eastAsia="ru-RU"/>
              </w:rPr>
            </w:pPr>
            <w:r w:rsidRPr="005C3BC5">
              <w:rPr>
                <w:rFonts w:eastAsia="Times New Roman"/>
                <w:color w:val="333333"/>
                <w:lang w:eastAsia="ru-RU"/>
              </w:rPr>
              <w:lastRenderedPageBreak/>
              <w:t>12.</w:t>
            </w:r>
          </w:p>
        </w:tc>
        <w:tc>
          <w:tcPr>
            <w:tcW w:w="3372" w:type="dxa"/>
            <w:shd w:val="clear" w:color="auto" w:fill="auto"/>
            <w:vAlign w:val="center"/>
            <w:hideMark/>
          </w:tcPr>
          <w:p w:rsidR="00D87FFE" w:rsidRPr="005C3BC5" w:rsidRDefault="00D87FFE" w:rsidP="006758D4">
            <w:pPr>
              <w:jc w:val="left"/>
              <w:rPr>
                <w:rFonts w:eastAsia="Times New Roman"/>
                <w:lang w:eastAsia="ru-RU"/>
              </w:rPr>
            </w:pPr>
            <w:proofErr w:type="gramStart"/>
            <w:r w:rsidRPr="005C3BC5">
              <w:rPr>
                <w:rFonts w:eastAsia="Times New Roman"/>
                <w:lang w:eastAsia="ru-RU"/>
              </w:rPr>
              <w:t>Исключен</w:t>
            </w:r>
            <w:proofErr w:type="gramEnd"/>
            <w:r w:rsidRPr="005C3BC5">
              <w:rPr>
                <w:rFonts w:eastAsia="Times New Roman"/>
                <w:lang w:eastAsia="ru-RU"/>
              </w:rPr>
              <w:t xml:space="preserve"> постановлением ПЛО от 20.03.2017 № 65</w:t>
            </w:r>
          </w:p>
        </w:tc>
        <w:tc>
          <w:tcPr>
            <w:tcW w:w="1559" w:type="dxa"/>
            <w:shd w:val="clear" w:color="auto" w:fill="auto"/>
            <w:vAlign w:val="center"/>
            <w:hideMark/>
          </w:tcPr>
          <w:p w:rsidR="00D87FFE" w:rsidRPr="005C3BC5" w:rsidRDefault="00D87FFE" w:rsidP="006758D4">
            <w:pPr>
              <w:jc w:val="center"/>
              <w:rPr>
                <w:rFonts w:eastAsia="Times New Roman"/>
                <w:color w:val="333333"/>
                <w:lang w:eastAsia="ru-RU"/>
              </w:rPr>
            </w:pPr>
            <w:r w:rsidRPr="005C3BC5">
              <w:rPr>
                <w:rFonts w:eastAsia="Times New Roman"/>
                <w:color w:val="333333"/>
                <w:lang w:eastAsia="ru-RU"/>
              </w:rPr>
              <w:t>процентов</w:t>
            </w:r>
          </w:p>
        </w:tc>
        <w:tc>
          <w:tcPr>
            <w:tcW w:w="1276" w:type="dxa"/>
            <w:shd w:val="clear" w:color="auto" w:fill="auto"/>
            <w:noWrap/>
            <w:vAlign w:val="center"/>
            <w:hideMark/>
          </w:tcPr>
          <w:p w:rsidR="00D87FFE" w:rsidRPr="005C3BC5" w:rsidRDefault="00D87FFE" w:rsidP="006758D4">
            <w:pPr>
              <w:jc w:val="center"/>
              <w:rPr>
                <w:rFonts w:eastAsia="Times New Roman"/>
                <w:lang w:eastAsia="ru-RU"/>
              </w:rPr>
            </w:pPr>
            <w:r w:rsidRPr="005C3BC5">
              <w:rPr>
                <w:rFonts w:eastAsia="Times New Roman"/>
                <w:lang w:eastAsia="ru-RU"/>
              </w:rPr>
              <w:t>- </w:t>
            </w:r>
          </w:p>
        </w:tc>
        <w:tc>
          <w:tcPr>
            <w:tcW w:w="1275" w:type="dxa"/>
            <w:shd w:val="clear" w:color="auto" w:fill="auto"/>
            <w:noWrap/>
            <w:vAlign w:val="center"/>
            <w:hideMark/>
          </w:tcPr>
          <w:p w:rsidR="00D87FFE" w:rsidRPr="005C3BC5" w:rsidRDefault="00D87FFE" w:rsidP="006758D4">
            <w:pPr>
              <w:jc w:val="center"/>
              <w:rPr>
                <w:rFonts w:eastAsia="Times New Roman"/>
                <w:lang w:eastAsia="ru-RU"/>
              </w:rPr>
            </w:pPr>
            <w:r w:rsidRPr="005C3BC5">
              <w:rPr>
                <w:rFonts w:eastAsia="Times New Roman"/>
                <w:lang w:eastAsia="ru-RU"/>
              </w:rPr>
              <w:t> -</w:t>
            </w:r>
          </w:p>
        </w:tc>
        <w:tc>
          <w:tcPr>
            <w:tcW w:w="1276" w:type="dxa"/>
            <w:shd w:val="clear" w:color="auto" w:fill="auto"/>
            <w:noWrap/>
            <w:vAlign w:val="center"/>
            <w:hideMark/>
          </w:tcPr>
          <w:p w:rsidR="00D87FFE" w:rsidRPr="005C3BC5" w:rsidRDefault="00D87FFE" w:rsidP="006758D4">
            <w:pPr>
              <w:jc w:val="center"/>
              <w:rPr>
                <w:rFonts w:eastAsia="Times New Roman"/>
                <w:lang w:eastAsia="ru-RU"/>
              </w:rPr>
            </w:pPr>
            <w:r w:rsidRPr="005C3BC5">
              <w:rPr>
                <w:rFonts w:eastAsia="Times New Roman"/>
                <w:lang w:eastAsia="ru-RU"/>
              </w:rPr>
              <w:t>-</w:t>
            </w:r>
          </w:p>
        </w:tc>
        <w:tc>
          <w:tcPr>
            <w:tcW w:w="1276" w:type="dxa"/>
            <w:shd w:val="clear" w:color="auto" w:fill="auto"/>
            <w:noWrap/>
            <w:vAlign w:val="center"/>
            <w:hideMark/>
          </w:tcPr>
          <w:p w:rsidR="00D87FFE" w:rsidRPr="005C3BC5" w:rsidRDefault="00D87FFE" w:rsidP="006758D4">
            <w:pPr>
              <w:jc w:val="center"/>
              <w:rPr>
                <w:rFonts w:eastAsia="Times New Roman"/>
                <w:lang w:eastAsia="ru-RU"/>
              </w:rPr>
            </w:pPr>
            <w:r w:rsidRPr="005C3BC5">
              <w:rPr>
                <w:rFonts w:eastAsia="Times New Roman"/>
                <w:lang w:eastAsia="ru-RU"/>
              </w:rPr>
              <w:t>-</w:t>
            </w:r>
          </w:p>
        </w:tc>
        <w:tc>
          <w:tcPr>
            <w:tcW w:w="1276" w:type="dxa"/>
            <w:shd w:val="clear" w:color="auto" w:fill="auto"/>
            <w:noWrap/>
            <w:vAlign w:val="center"/>
            <w:hideMark/>
          </w:tcPr>
          <w:p w:rsidR="00D87FFE" w:rsidRPr="005C3BC5" w:rsidRDefault="00D87FFE" w:rsidP="006758D4">
            <w:pPr>
              <w:jc w:val="center"/>
              <w:rPr>
                <w:rFonts w:eastAsia="Times New Roman"/>
                <w:lang w:eastAsia="ru-RU"/>
              </w:rPr>
            </w:pPr>
            <w:r w:rsidRPr="005C3BC5">
              <w:rPr>
                <w:rFonts w:eastAsia="Times New Roman"/>
                <w:lang w:eastAsia="ru-RU"/>
              </w:rPr>
              <w:t>-</w:t>
            </w:r>
          </w:p>
        </w:tc>
        <w:tc>
          <w:tcPr>
            <w:tcW w:w="1417" w:type="dxa"/>
            <w:vAlign w:val="center"/>
          </w:tcPr>
          <w:p w:rsidR="00D87FFE" w:rsidRPr="005C3BC5" w:rsidRDefault="00D87FFE" w:rsidP="006758D4">
            <w:pPr>
              <w:jc w:val="center"/>
              <w:rPr>
                <w:rFonts w:eastAsia="Times New Roman"/>
                <w:lang w:eastAsia="ru-RU"/>
              </w:rPr>
            </w:pPr>
            <w:r w:rsidRPr="005C3BC5">
              <w:rPr>
                <w:rFonts w:eastAsia="Times New Roman"/>
                <w:lang w:eastAsia="ru-RU"/>
              </w:rPr>
              <w:t>-</w:t>
            </w:r>
          </w:p>
        </w:tc>
        <w:tc>
          <w:tcPr>
            <w:tcW w:w="2410" w:type="dxa"/>
            <w:shd w:val="clear" w:color="auto" w:fill="auto"/>
            <w:vAlign w:val="center"/>
            <w:hideMark/>
          </w:tcPr>
          <w:p w:rsidR="00D87FFE" w:rsidRPr="005C3BC5" w:rsidRDefault="00D87FFE" w:rsidP="006758D4">
            <w:pPr>
              <w:jc w:val="left"/>
              <w:rPr>
                <w:rFonts w:eastAsia="Times New Roman"/>
                <w:lang w:eastAsia="ru-RU"/>
              </w:rPr>
            </w:pPr>
          </w:p>
        </w:tc>
      </w:tr>
      <w:tr w:rsidR="00D87FFE" w:rsidRPr="0097071D" w:rsidTr="006758D4">
        <w:tc>
          <w:tcPr>
            <w:tcW w:w="513" w:type="dxa"/>
            <w:shd w:val="clear" w:color="auto" w:fill="auto"/>
            <w:vAlign w:val="center"/>
            <w:hideMark/>
          </w:tcPr>
          <w:p w:rsidR="00D87FFE" w:rsidRPr="009B0903" w:rsidRDefault="00D87FFE" w:rsidP="006758D4">
            <w:pPr>
              <w:jc w:val="center"/>
              <w:rPr>
                <w:rFonts w:eastAsia="Times New Roman"/>
                <w:color w:val="333333"/>
                <w:lang w:eastAsia="ru-RU"/>
              </w:rPr>
            </w:pPr>
            <w:r w:rsidRPr="009B0903">
              <w:rPr>
                <w:rFonts w:eastAsia="Times New Roman"/>
                <w:color w:val="333333"/>
                <w:lang w:eastAsia="ru-RU"/>
              </w:rPr>
              <w:t>13.</w:t>
            </w:r>
          </w:p>
        </w:tc>
        <w:tc>
          <w:tcPr>
            <w:tcW w:w="3372" w:type="dxa"/>
            <w:shd w:val="clear" w:color="auto" w:fill="auto"/>
            <w:vAlign w:val="center"/>
            <w:hideMark/>
          </w:tcPr>
          <w:p w:rsidR="00D87FFE" w:rsidRPr="009B0903" w:rsidRDefault="00D87FFE" w:rsidP="006758D4">
            <w:pPr>
              <w:jc w:val="left"/>
              <w:rPr>
                <w:rFonts w:eastAsia="Times New Roman"/>
                <w:color w:val="333333"/>
                <w:lang w:eastAsia="ru-RU"/>
              </w:rPr>
            </w:pPr>
            <w:r w:rsidRPr="009B0903">
              <w:rPr>
                <w:rFonts w:eastAsia="Times New Roman"/>
                <w:color w:val="333333"/>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59" w:type="dxa"/>
            <w:shd w:val="clear" w:color="auto" w:fill="auto"/>
            <w:vAlign w:val="center"/>
            <w:hideMark/>
          </w:tcPr>
          <w:p w:rsidR="00D87FFE" w:rsidRPr="009B0903" w:rsidRDefault="00D87FFE" w:rsidP="006758D4">
            <w:pPr>
              <w:jc w:val="center"/>
              <w:rPr>
                <w:rFonts w:eastAsia="Times New Roman"/>
                <w:color w:val="333333"/>
                <w:lang w:eastAsia="ru-RU"/>
              </w:rPr>
            </w:pPr>
            <w:r w:rsidRPr="009B0903">
              <w:rPr>
                <w:rFonts w:eastAsia="Times New Roman"/>
                <w:color w:val="333333"/>
                <w:lang w:eastAsia="ru-RU"/>
              </w:rPr>
              <w:t>процентов</w:t>
            </w:r>
          </w:p>
        </w:tc>
        <w:tc>
          <w:tcPr>
            <w:tcW w:w="1276" w:type="dxa"/>
            <w:shd w:val="clear" w:color="auto" w:fill="auto"/>
            <w:noWrap/>
            <w:vAlign w:val="center"/>
            <w:hideMark/>
          </w:tcPr>
          <w:p w:rsidR="00D87FFE" w:rsidRPr="009B0903" w:rsidRDefault="00D87FFE" w:rsidP="006758D4">
            <w:pPr>
              <w:jc w:val="center"/>
              <w:rPr>
                <w:rFonts w:eastAsia="Times New Roman"/>
                <w:lang w:eastAsia="ru-RU"/>
              </w:rPr>
            </w:pPr>
            <w:r w:rsidRPr="009B0903">
              <w:rPr>
                <w:rFonts w:eastAsia="Times New Roman"/>
                <w:lang w:eastAsia="ru-RU"/>
              </w:rPr>
              <w:t>0</w:t>
            </w:r>
          </w:p>
        </w:tc>
        <w:tc>
          <w:tcPr>
            <w:tcW w:w="1275" w:type="dxa"/>
            <w:shd w:val="clear" w:color="auto" w:fill="auto"/>
            <w:noWrap/>
            <w:vAlign w:val="center"/>
            <w:hideMark/>
          </w:tcPr>
          <w:p w:rsidR="00D87FFE" w:rsidRPr="009B0903" w:rsidRDefault="00D87FFE" w:rsidP="006758D4">
            <w:pPr>
              <w:jc w:val="center"/>
              <w:rPr>
                <w:rFonts w:eastAsia="Times New Roman"/>
                <w:lang w:eastAsia="ru-RU"/>
              </w:rPr>
            </w:pPr>
            <w:r w:rsidRPr="009B0903">
              <w:rPr>
                <w:rFonts w:eastAsia="Times New Roman"/>
                <w:lang w:eastAsia="ru-RU"/>
              </w:rPr>
              <w:t>0</w:t>
            </w:r>
          </w:p>
        </w:tc>
        <w:tc>
          <w:tcPr>
            <w:tcW w:w="1276" w:type="dxa"/>
            <w:shd w:val="clear" w:color="auto" w:fill="auto"/>
            <w:noWrap/>
            <w:vAlign w:val="center"/>
            <w:hideMark/>
          </w:tcPr>
          <w:p w:rsidR="00D87FFE" w:rsidRPr="009B0903"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9B0903"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9B0903" w:rsidRDefault="00D87FFE" w:rsidP="006758D4">
            <w:pPr>
              <w:jc w:val="center"/>
              <w:rPr>
                <w:rFonts w:eastAsia="Times New Roman"/>
                <w:lang w:eastAsia="ru-RU"/>
              </w:rPr>
            </w:pPr>
            <w:r>
              <w:rPr>
                <w:rFonts w:eastAsia="Times New Roman"/>
                <w:lang w:eastAsia="ru-RU"/>
              </w:rPr>
              <w:t>0</w:t>
            </w:r>
          </w:p>
        </w:tc>
        <w:tc>
          <w:tcPr>
            <w:tcW w:w="1417" w:type="dxa"/>
            <w:vAlign w:val="center"/>
          </w:tcPr>
          <w:p w:rsidR="00D87FFE" w:rsidRPr="009B0903" w:rsidRDefault="00D87FFE" w:rsidP="006758D4">
            <w:pPr>
              <w:jc w:val="center"/>
              <w:rPr>
                <w:rFonts w:eastAsia="Times New Roman"/>
                <w:lang w:eastAsia="ru-RU"/>
              </w:rPr>
            </w:pPr>
            <w:r>
              <w:rPr>
                <w:rFonts w:eastAsia="Times New Roman"/>
                <w:lang w:eastAsia="ru-RU"/>
              </w:rPr>
              <w:t>0</w:t>
            </w:r>
          </w:p>
        </w:tc>
        <w:tc>
          <w:tcPr>
            <w:tcW w:w="2410" w:type="dxa"/>
            <w:shd w:val="clear" w:color="auto" w:fill="auto"/>
            <w:vAlign w:val="center"/>
            <w:hideMark/>
          </w:tcPr>
          <w:p w:rsidR="00D87FFE" w:rsidRPr="009B0903" w:rsidRDefault="00D87FFE" w:rsidP="006758D4">
            <w:pPr>
              <w:jc w:val="left"/>
              <w:rPr>
                <w:rFonts w:eastAsia="Times New Roman"/>
                <w:lang w:eastAsia="ru-RU"/>
              </w:rPr>
            </w:pPr>
            <w:r w:rsidRPr="009B0903">
              <w:rPr>
                <w:rFonts w:eastAsia="Times New Roman"/>
                <w:lang w:eastAsia="ru-RU"/>
              </w:rPr>
              <w:t> </w:t>
            </w:r>
          </w:p>
        </w:tc>
      </w:tr>
      <w:tr w:rsidR="00D87FFE" w:rsidRPr="00753485" w:rsidTr="006758D4">
        <w:tc>
          <w:tcPr>
            <w:tcW w:w="513" w:type="dxa"/>
            <w:shd w:val="clear" w:color="auto" w:fill="auto"/>
            <w:vAlign w:val="center"/>
            <w:hideMark/>
          </w:tcPr>
          <w:p w:rsidR="00D87FFE" w:rsidRPr="006266B0" w:rsidRDefault="00D87FFE" w:rsidP="006758D4">
            <w:pPr>
              <w:jc w:val="center"/>
              <w:rPr>
                <w:rFonts w:eastAsia="Times New Roman"/>
                <w:color w:val="333333"/>
                <w:lang w:eastAsia="ru-RU"/>
              </w:rPr>
            </w:pPr>
            <w:r w:rsidRPr="006266B0">
              <w:rPr>
                <w:rFonts w:eastAsia="Times New Roman"/>
                <w:color w:val="333333"/>
                <w:lang w:eastAsia="ru-RU"/>
              </w:rPr>
              <w:t>14.</w:t>
            </w:r>
          </w:p>
        </w:tc>
        <w:tc>
          <w:tcPr>
            <w:tcW w:w="3372" w:type="dxa"/>
            <w:shd w:val="clear" w:color="auto" w:fill="auto"/>
            <w:vAlign w:val="center"/>
            <w:hideMark/>
          </w:tcPr>
          <w:p w:rsidR="00D87FFE" w:rsidRPr="006266B0" w:rsidRDefault="00D87FFE" w:rsidP="006758D4">
            <w:pPr>
              <w:jc w:val="left"/>
              <w:rPr>
                <w:rFonts w:eastAsia="Times New Roman"/>
                <w:color w:val="333333"/>
                <w:lang w:eastAsia="ru-RU"/>
              </w:rPr>
            </w:pPr>
            <w:r w:rsidRPr="006266B0">
              <w:rPr>
                <w:rFonts w:eastAsia="Times New Roman"/>
                <w:color w:val="333333"/>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59" w:type="dxa"/>
            <w:shd w:val="clear" w:color="auto" w:fill="auto"/>
            <w:vAlign w:val="center"/>
            <w:hideMark/>
          </w:tcPr>
          <w:p w:rsidR="00D87FFE" w:rsidRPr="006266B0" w:rsidRDefault="00D87FFE" w:rsidP="006758D4">
            <w:pPr>
              <w:jc w:val="center"/>
              <w:rPr>
                <w:rFonts w:eastAsia="Times New Roman"/>
                <w:color w:val="333333"/>
                <w:lang w:eastAsia="ru-RU"/>
              </w:rPr>
            </w:pPr>
            <w:r w:rsidRPr="006266B0">
              <w:rPr>
                <w:rFonts w:eastAsia="Times New Roman"/>
                <w:color w:val="333333"/>
                <w:lang w:eastAsia="ru-RU"/>
              </w:rPr>
              <w:t>процентов</w:t>
            </w:r>
          </w:p>
        </w:tc>
        <w:tc>
          <w:tcPr>
            <w:tcW w:w="1276" w:type="dxa"/>
            <w:shd w:val="clear" w:color="auto" w:fill="auto"/>
            <w:noWrap/>
            <w:vAlign w:val="center"/>
            <w:hideMark/>
          </w:tcPr>
          <w:p w:rsidR="00D87FFE" w:rsidRPr="006266B0" w:rsidRDefault="00D87FFE" w:rsidP="006758D4">
            <w:pPr>
              <w:jc w:val="center"/>
              <w:rPr>
                <w:rFonts w:eastAsia="Times New Roman"/>
                <w:lang w:eastAsia="ru-RU"/>
              </w:rPr>
            </w:pPr>
            <w:r w:rsidRPr="006266B0">
              <w:rPr>
                <w:rFonts w:eastAsia="Times New Roman"/>
                <w:lang w:eastAsia="ru-RU"/>
              </w:rPr>
              <w:t>100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6266B0">
              <w:rPr>
                <w:rFonts w:eastAsia="Times New Roman"/>
                <w:lang w:eastAsia="ru-RU"/>
              </w:rPr>
              <w:t>100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100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97071D" w:rsidTr="006758D4">
        <w:tc>
          <w:tcPr>
            <w:tcW w:w="513" w:type="dxa"/>
            <w:shd w:val="clear" w:color="auto" w:fill="auto"/>
            <w:vAlign w:val="center"/>
            <w:hideMark/>
          </w:tcPr>
          <w:p w:rsidR="00D87FFE" w:rsidRPr="000E6200" w:rsidRDefault="00D87FFE" w:rsidP="006758D4">
            <w:pPr>
              <w:jc w:val="center"/>
              <w:rPr>
                <w:rFonts w:eastAsia="Times New Roman"/>
                <w:color w:val="333333"/>
                <w:lang w:eastAsia="ru-RU"/>
              </w:rPr>
            </w:pPr>
            <w:r w:rsidRPr="000E6200">
              <w:rPr>
                <w:rFonts w:eastAsia="Times New Roman"/>
                <w:color w:val="333333"/>
                <w:lang w:eastAsia="ru-RU"/>
              </w:rPr>
              <w:t>15.</w:t>
            </w:r>
          </w:p>
        </w:tc>
        <w:tc>
          <w:tcPr>
            <w:tcW w:w="3372" w:type="dxa"/>
            <w:shd w:val="clear" w:color="auto" w:fill="auto"/>
            <w:vAlign w:val="center"/>
            <w:hideMark/>
          </w:tcPr>
          <w:p w:rsidR="00D87FFE" w:rsidRPr="000E6200" w:rsidRDefault="00D87FFE" w:rsidP="006758D4">
            <w:pPr>
              <w:jc w:val="left"/>
              <w:rPr>
                <w:rFonts w:eastAsia="Times New Roman"/>
                <w:color w:val="333333"/>
                <w:lang w:eastAsia="ru-RU"/>
              </w:rPr>
            </w:pPr>
            <w:r w:rsidRPr="000E6200">
              <w:rPr>
                <w:rFonts w:eastAsia="Times New Roman"/>
                <w:color w:val="333333"/>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59" w:type="dxa"/>
            <w:shd w:val="clear" w:color="auto" w:fill="auto"/>
            <w:vAlign w:val="center"/>
            <w:hideMark/>
          </w:tcPr>
          <w:p w:rsidR="00D87FFE" w:rsidRPr="000E6200" w:rsidRDefault="00D87FFE" w:rsidP="006758D4">
            <w:pPr>
              <w:jc w:val="center"/>
              <w:rPr>
                <w:rFonts w:eastAsia="Times New Roman"/>
                <w:color w:val="333333"/>
                <w:lang w:eastAsia="ru-RU"/>
              </w:rPr>
            </w:pPr>
            <w:r w:rsidRPr="000E6200">
              <w:rPr>
                <w:rFonts w:eastAsia="Times New Roman"/>
                <w:color w:val="333333"/>
                <w:lang w:eastAsia="ru-RU"/>
              </w:rPr>
              <w:t>процентов</w:t>
            </w:r>
          </w:p>
        </w:tc>
        <w:tc>
          <w:tcPr>
            <w:tcW w:w="1276" w:type="dxa"/>
            <w:shd w:val="clear" w:color="auto" w:fill="auto"/>
            <w:noWrap/>
            <w:vAlign w:val="center"/>
            <w:hideMark/>
          </w:tcPr>
          <w:p w:rsidR="00D87FFE" w:rsidRPr="000E6200" w:rsidRDefault="00D87FFE" w:rsidP="006758D4">
            <w:pPr>
              <w:jc w:val="center"/>
              <w:rPr>
                <w:rFonts w:eastAsia="Times New Roman"/>
                <w:lang w:eastAsia="ru-RU"/>
              </w:rPr>
            </w:pPr>
            <w:r w:rsidRPr="000E6200">
              <w:rPr>
                <w:rFonts w:eastAsia="Times New Roman"/>
                <w:lang w:eastAsia="ru-RU"/>
              </w:rPr>
              <w:t>11</w:t>
            </w:r>
          </w:p>
        </w:tc>
        <w:tc>
          <w:tcPr>
            <w:tcW w:w="1275" w:type="dxa"/>
            <w:shd w:val="clear" w:color="auto" w:fill="auto"/>
            <w:noWrap/>
            <w:vAlign w:val="center"/>
            <w:hideMark/>
          </w:tcPr>
          <w:p w:rsidR="00D87FFE" w:rsidRPr="000E6200" w:rsidRDefault="00D87FFE" w:rsidP="006758D4">
            <w:pPr>
              <w:jc w:val="center"/>
              <w:rPr>
                <w:rFonts w:eastAsia="Times New Roman"/>
                <w:lang w:eastAsia="ru-RU"/>
              </w:rPr>
            </w:pPr>
            <w:r w:rsidRPr="000E6200">
              <w:rPr>
                <w:rFonts w:eastAsia="Times New Roman"/>
                <w:lang w:eastAsia="ru-RU"/>
              </w:rPr>
              <w:t>0</w:t>
            </w:r>
          </w:p>
        </w:tc>
        <w:tc>
          <w:tcPr>
            <w:tcW w:w="1276" w:type="dxa"/>
            <w:shd w:val="clear" w:color="auto" w:fill="auto"/>
            <w:noWrap/>
            <w:vAlign w:val="center"/>
            <w:hideMark/>
          </w:tcPr>
          <w:p w:rsidR="00D87FFE" w:rsidRPr="000E6200" w:rsidRDefault="00D87FFE" w:rsidP="006758D4">
            <w:pPr>
              <w:jc w:val="center"/>
              <w:rPr>
                <w:rFonts w:eastAsia="Times New Roman"/>
                <w:lang w:eastAsia="ru-RU"/>
              </w:rPr>
            </w:pPr>
            <w:r>
              <w:rPr>
                <w:rFonts w:eastAsia="Times New Roman"/>
                <w:lang w:eastAsia="ru-RU"/>
              </w:rPr>
              <w:t>11</w:t>
            </w:r>
          </w:p>
        </w:tc>
        <w:tc>
          <w:tcPr>
            <w:tcW w:w="1276" w:type="dxa"/>
            <w:shd w:val="clear" w:color="auto" w:fill="auto"/>
            <w:noWrap/>
            <w:vAlign w:val="center"/>
            <w:hideMark/>
          </w:tcPr>
          <w:p w:rsidR="00D87FFE" w:rsidRPr="000E6200" w:rsidRDefault="00D87FFE" w:rsidP="006758D4">
            <w:pPr>
              <w:jc w:val="center"/>
              <w:rPr>
                <w:rFonts w:eastAsia="Times New Roman"/>
                <w:lang w:eastAsia="ru-RU"/>
              </w:rPr>
            </w:pPr>
            <w:r>
              <w:rPr>
                <w:rFonts w:eastAsia="Times New Roman"/>
                <w:lang w:eastAsia="ru-RU"/>
              </w:rPr>
              <w:t>11</w:t>
            </w:r>
          </w:p>
        </w:tc>
        <w:tc>
          <w:tcPr>
            <w:tcW w:w="1276" w:type="dxa"/>
            <w:shd w:val="clear" w:color="auto" w:fill="auto"/>
            <w:noWrap/>
            <w:vAlign w:val="center"/>
            <w:hideMark/>
          </w:tcPr>
          <w:p w:rsidR="00D87FFE" w:rsidRPr="000E6200" w:rsidRDefault="00D87FFE" w:rsidP="006758D4">
            <w:pPr>
              <w:jc w:val="center"/>
              <w:rPr>
                <w:rFonts w:eastAsia="Times New Roman"/>
                <w:lang w:eastAsia="ru-RU"/>
              </w:rPr>
            </w:pPr>
            <w:r>
              <w:rPr>
                <w:rFonts w:eastAsia="Times New Roman"/>
                <w:lang w:eastAsia="ru-RU"/>
              </w:rPr>
              <w:t>11</w:t>
            </w:r>
          </w:p>
        </w:tc>
        <w:tc>
          <w:tcPr>
            <w:tcW w:w="1417" w:type="dxa"/>
            <w:vAlign w:val="center"/>
          </w:tcPr>
          <w:p w:rsidR="00D87FFE" w:rsidRPr="000E6200" w:rsidRDefault="00D87FFE" w:rsidP="006758D4">
            <w:pPr>
              <w:jc w:val="center"/>
              <w:rPr>
                <w:rFonts w:eastAsia="Times New Roman"/>
                <w:lang w:eastAsia="ru-RU"/>
              </w:rPr>
            </w:pPr>
            <w:r>
              <w:rPr>
                <w:rFonts w:eastAsia="Times New Roman"/>
                <w:lang w:eastAsia="ru-RU"/>
              </w:rPr>
              <w:t>11</w:t>
            </w:r>
          </w:p>
        </w:tc>
        <w:tc>
          <w:tcPr>
            <w:tcW w:w="2410" w:type="dxa"/>
            <w:shd w:val="clear" w:color="auto" w:fill="auto"/>
            <w:vAlign w:val="center"/>
            <w:hideMark/>
          </w:tcPr>
          <w:p w:rsidR="00D87FFE" w:rsidRPr="000E6200" w:rsidRDefault="00D87FFE" w:rsidP="006758D4">
            <w:pPr>
              <w:jc w:val="left"/>
              <w:rPr>
                <w:rFonts w:eastAsia="Times New Roman"/>
                <w:lang w:eastAsia="ru-RU"/>
              </w:rPr>
            </w:pPr>
            <w:r w:rsidRPr="000E6200">
              <w:rPr>
                <w:rFonts w:eastAsia="Times New Roman"/>
                <w:lang w:eastAsia="ru-RU"/>
              </w:rPr>
              <w:t> </w:t>
            </w:r>
          </w:p>
        </w:tc>
      </w:tr>
      <w:tr w:rsidR="00D87FFE" w:rsidRPr="0097071D" w:rsidTr="006758D4">
        <w:tc>
          <w:tcPr>
            <w:tcW w:w="513" w:type="dxa"/>
            <w:shd w:val="clear" w:color="auto" w:fill="auto"/>
            <w:vAlign w:val="center"/>
            <w:hideMark/>
          </w:tcPr>
          <w:p w:rsidR="00D87FFE" w:rsidRPr="003C0F76" w:rsidRDefault="00D87FFE" w:rsidP="006758D4">
            <w:pPr>
              <w:jc w:val="center"/>
              <w:rPr>
                <w:rFonts w:eastAsia="Times New Roman"/>
                <w:color w:val="333333"/>
                <w:lang w:eastAsia="ru-RU"/>
              </w:rPr>
            </w:pPr>
            <w:r w:rsidRPr="003C0F76">
              <w:rPr>
                <w:rFonts w:eastAsia="Times New Roman"/>
                <w:color w:val="333333"/>
                <w:lang w:eastAsia="ru-RU"/>
              </w:rPr>
              <w:t>16.</w:t>
            </w:r>
          </w:p>
        </w:tc>
        <w:tc>
          <w:tcPr>
            <w:tcW w:w="3372" w:type="dxa"/>
            <w:shd w:val="clear" w:color="auto" w:fill="auto"/>
            <w:vAlign w:val="center"/>
            <w:hideMark/>
          </w:tcPr>
          <w:p w:rsidR="00D87FFE" w:rsidRPr="003C0F76" w:rsidRDefault="00D87FFE" w:rsidP="006758D4">
            <w:pPr>
              <w:jc w:val="left"/>
              <w:rPr>
                <w:rFonts w:eastAsia="Times New Roman"/>
                <w:color w:val="333333"/>
                <w:lang w:eastAsia="ru-RU"/>
              </w:rPr>
            </w:pPr>
            <w:r w:rsidRPr="003C0F76">
              <w:rPr>
                <w:rFonts w:eastAsia="Times New Roman"/>
                <w:color w:val="333333"/>
                <w:lang w:eastAsia="ru-RU"/>
              </w:rPr>
              <w:t xml:space="preserve">Доля детей первой и второй групп здоровья в общей </w:t>
            </w:r>
            <w:proofErr w:type="gramStart"/>
            <w:r w:rsidRPr="003C0F76">
              <w:rPr>
                <w:rFonts w:eastAsia="Times New Roman"/>
                <w:color w:val="333333"/>
                <w:lang w:eastAsia="ru-RU"/>
              </w:rPr>
              <w:lastRenderedPageBreak/>
              <w:t>численности</w:t>
            </w:r>
            <w:proofErr w:type="gramEnd"/>
            <w:r w:rsidRPr="003C0F76">
              <w:rPr>
                <w:rFonts w:eastAsia="Times New Roman"/>
                <w:color w:val="333333"/>
                <w:lang w:eastAsia="ru-RU"/>
              </w:rPr>
              <w:t xml:space="preserve"> обучающихся в муниципальных общеобразовательных учреждениях</w:t>
            </w:r>
          </w:p>
        </w:tc>
        <w:tc>
          <w:tcPr>
            <w:tcW w:w="1559" w:type="dxa"/>
            <w:shd w:val="clear" w:color="auto" w:fill="auto"/>
            <w:vAlign w:val="center"/>
            <w:hideMark/>
          </w:tcPr>
          <w:p w:rsidR="00D87FFE" w:rsidRPr="003C0F76" w:rsidRDefault="00D87FFE" w:rsidP="006758D4">
            <w:pPr>
              <w:jc w:val="center"/>
              <w:rPr>
                <w:rFonts w:eastAsia="Times New Roman"/>
                <w:color w:val="333333"/>
                <w:lang w:eastAsia="ru-RU"/>
              </w:rPr>
            </w:pPr>
            <w:r w:rsidRPr="003C0F76">
              <w:rPr>
                <w:rFonts w:eastAsia="Times New Roman"/>
                <w:color w:val="333333"/>
                <w:lang w:eastAsia="ru-RU"/>
              </w:rPr>
              <w:lastRenderedPageBreak/>
              <w:t>процентов</w:t>
            </w:r>
          </w:p>
        </w:tc>
        <w:tc>
          <w:tcPr>
            <w:tcW w:w="1276" w:type="dxa"/>
            <w:shd w:val="clear" w:color="auto" w:fill="auto"/>
            <w:noWrap/>
            <w:vAlign w:val="center"/>
            <w:hideMark/>
          </w:tcPr>
          <w:p w:rsidR="00D87FFE" w:rsidRPr="003C0F76" w:rsidRDefault="00D87FFE" w:rsidP="006758D4">
            <w:pPr>
              <w:jc w:val="center"/>
              <w:rPr>
                <w:rFonts w:eastAsia="Times New Roman"/>
                <w:lang w:eastAsia="ru-RU"/>
              </w:rPr>
            </w:pPr>
            <w:r w:rsidRPr="003C0F76">
              <w:rPr>
                <w:rFonts w:eastAsia="Times New Roman"/>
                <w:lang w:eastAsia="ru-RU"/>
              </w:rPr>
              <w:t>73</w:t>
            </w:r>
          </w:p>
        </w:tc>
        <w:tc>
          <w:tcPr>
            <w:tcW w:w="1275" w:type="dxa"/>
            <w:shd w:val="clear" w:color="auto" w:fill="auto"/>
            <w:noWrap/>
            <w:vAlign w:val="center"/>
            <w:hideMark/>
          </w:tcPr>
          <w:p w:rsidR="00D87FFE" w:rsidRPr="003C0F76" w:rsidRDefault="00D87FFE" w:rsidP="006758D4">
            <w:pPr>
              <w:jc w:val="center"/>
              <w:rPr>
                <w:rFonts w:eastAsia="Times New Roman"/>
                <w:lang w:eastAsia="ru-RU"/>
              </w:rPr>
            </w:pPr>
            <w:r w:rsidRPr="003C0F76">
              <w:rPr>
                <w:rFonts w:eastAsia="Times New Roman"/>
                <w:lang w:eastAsia="ru-RU"/>
              </w:rPr>
              <w:t>74</w:t>
            </w:r>
          </w:p>
        </w:tc>
        <w:tc>
          <w:tcPr>
            <w:tcW w:w="1276" w:type="dxa"/>
            <w:shd w:val="clear" w:color="auto" w:fill="auto"/>
            <w:noWrap/>
            <w:vAlign w:val="center"/>
            <w:hideMark/>
          </w:tcPr>
          <w:p w:rsidR="00D87FFE" w:rsidRPr="003C0F76" w:rsidRDefault="00D87FFE" w:rsidP="006758D4">
            <w:pPr>
              <w:jc w:val="center"/>
              <w:rPr>
                <w:rFonts w:eastAsia="Times New Roman"/>
                <w:lang w:eastAsia="ru-RU"/>
              </w:rPr>
            </w:pPr>
            <w:r w:rsidRPr="003C0F76">
              <w:rPr>
                <w:rFonts w:eastAsia="Times New Roman"/>
                <w:lang w:eastAsia="ru-RU"/>
              </w:rPr>
              <w:t>74,1</w:t>
            </w:r>
          </w:p>
        </w:tc>
        <w:tc>
          <w:tcPr>
            <w:tcW w:w="1276" w:type="dxa"/>
            <w:shd w:val="clear" w:color="auto" w:fill="auto"/>
            <w:noWrap/>
            <w:vAlign w:val="center"/>
            <w:hideMark/>
          </w:tcPr>
          <w:p w:rsidR="00D87FFE" w:rsidRPr="003C0F76" w:rsidRDefault="00D87FFE" w:rsidP="006758D4">
            <w:pPr>
              <w:jc w:val="center"/>
              <w:rPr>
                <w:rFonts w:eastAsia="Times New Roman"/>
                <w:lang w:eastAsia="ru-RU"/>
              </w:rPr>
            </w:pPr>
            <w:r w:rsidRPr="003C0F76">
              <w:rPr>
                <w:rFonts w:eastAsia="Times New Roman"/>
                <w:lang w:eastAsia="ru-RU"/>
              </w:rPr>
              <w:t>74,15</w:t>
            </w:r>
          </w:p>
        </w:tc>
        <w:tc>
          <w:tcPr>
            <w:tcW w:w="1276" w:type="dxa"/>
            <w:shd w:val="clear" w:color="auto" w:fill="auto"/>
            <w:noWrap/>
            <w:vAlign w:val="center"/>
            <w:hideMark/>
          </w:tcPr>
          <w:p w:rsidR="00D87FFE" w:rsidRPr="003C0F76" w:rsidRDefault="00D87FFE" w:rsidP="006758D4">
            <w:pPr>
              <w:jc w:val="center"/>
              <w:rPr>
                <w:rFonts w:eastAsia="Times New Roman"/>
                <w:lang w:eastAsia="ru-RU"/>
              </w:rPr>
            </w:pPr>
            <w:r w:rsidRPr="003C0F76">
              <w:rPr>
                <w:rFonts w:eastAsia="Times New Roman"/>
                <w:lang w:eastAsia="ru-RU"/>
              </w:rPr>
              <w:t>74,2</w:t>
            </w:r>
          </w:p>
        </w:tc>
        <w:tc>
          <w:tcPr>
            <w:tcW w:w="1417" w:type="dxa"/>
            <w:vAlign w:val="center"/>
          </w:tcPr>
          <w:p w:rsidR="00D87FFE" w:rsidRPr="003C0F76" w:rsidRDefault="00D87FFE" w:rsidP="006758D4">
            <w:pPr>
              <w:jc w:val="center"/>
              <w:rPr>
                <w:rFonts w:eastAsia="Times New Roman"/>
                <w:lang w:eastAsia="ru-RU"/>
              </w:rPr>
            </w:pPr>
            <w:r w:rsidRPr="003C0F76">
              <w:rPr>
                <w:rFonts w:eastAsia="Times New Roman"/>
                <w:lang w:eastAsia="ru-RU"/>
              </w:rPr>
              <w:t>74,25</w:t>
            </w:r>
          </w:p>
        </w:tc>
        <w:tc>
          <w:tcPr>
            <w:tcW w:w="2410" w:type="dxa"/>
            <w:shd w:val="clear" w:color="auto" w:fill="auto"/>
            <w:vAlign w:val="center"/>
            <w:hideMark/>
          </w:tcPr>
          <w:p w:rsidR="00D87FFE" w:rsidRPr="003C0F76" w:rsidRDefault="00D87FFE" w:rsidP="006758D4">
            <w:pPr>
              <w:jc w:val="left"/>
              <w:rPr>
                <w:rFonts w:eastAsia="Times New Roman"/>
                <w:lang w:eastAsia="ru-RU"/>
              </w:rPr>
            </w:pPr>
            <w:r w:rsidRPr="003C0F76">
              <w:rPr>
                <w:rFonts w:eastAsia="Times New Roman"/>
                <w:lang w:eastAsia="ru-RU"/>
              </w:rPr>
              <w:t> </w:t>
            </w:r>
          </w:p>
        </w:tc>
      </w:tr>
      <w:tr w:rsidR="00D87FFE" w:rsidRPr="00753485" w:rsidTr="006758D4">
        <w:tc>
          <w:tcPr>
            <w:tcW w:w="513" w:type="dxa"/>
            <w:shd w:val="clear" w:color="auto" w:fill="auto"/>
            <w:vAlign w:val="center"/>
            <w:hideMark/>
          </w:tcPr>
          <w:p w:rsidR="00D87FFE" w:rsidRPr="00F30243" w:rsidRDefault="00D87FFE" w:rsidP="006758D4">
            <w:pPr>
              <w:jc w:val="center"/>
              <w:rPr>
                <w:rFonts w:eastAsia="Times New Roman"/>
                <w:color w:val="333333"/>
                <w:lang w:eastAsia="ru-RU"/>
              </w:rPr>
            </w:pPr>
            <w:r w:rsidRPr="00F30243">
              <w:rPr>
                <w:rFonts w:eastAsia="Times New Roman"/>
                <w:color w:val="333333"/>
                <w:lang w:eastAsia="ru-RU"/>
              </w:rPr>
              <w:lastRenderedPageBreak/>
              <w:t>17.</w:t>
            </w:r>
          </w:p>
        </w:tc>
        <w:tc>
          <w:tcPr>
            <w:tcW w:w="3372" w:type="dxa"/>
            <w:shd w:val="clear" w:color="auto" w:fill="auto"/>
            <w:vAlign w:val="center"/>
            <w:hideMark/>
          </w:tcPr>
          <w:p w:rsidR="00D87FFE" w:rsidRPr="00F30243" w:rsidRDefault="00D87FFE" w:rsidP="006758D4">
            <w:pPr>
              <w:jc w:val="left"/>
              <w:rPr>
                <w:rFonts w:eastAsia="Times New Roman"/>
                <w:color w:val="333333"/>
                <w:lang w:eastAsia="ru-RU"/>
              </w:rPr>
            </w:pPr>
            <w:r w:rsidRPr="00F30243">
              <w:rPr>
                <w:rFonts w:eastAsia="Times New Roman"/>
                <w:color w:val="333333"/>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F30243">
              <w:rPr>
                <w:rFonts w:eastAsia="Times New Roman"/>
                <w:color w:val="333333"/>
                <w:lang w:eastAsia="ru-RU"/>
              </w:rPr>
              <w:t>численности</w:t>
            </w:r>
            <w:proofErr w:type="gramEnd"/>
            <w:r w:rsidRPr="00F30243">
              <w:rPr>
                <w:rFonts w:eastAsia="Times New Roman"/>
                <w:color w:val="333333"/>
                <w:lang w:eastAsia="ru-RU"/>
              </w:rPr>
              <w:t xml:space="preserve"> обучающихся в муниципальных общеобразовательных учреждениях</w:t>
            </w:r>
          </w:p>
        </w:tc>
        <w:tc>
          <w:tcPr>
            <w:tcW w:w="1559" w:type="dxa"/>
            <w:shd w:val="clear" w:color="auto" w:fill="auto"/>
            <w:vAlign w:val="center"/>
            <w:hideMark/>
          </w:tcPr>
          <w:p w:rsidR="00D87FFE" w:rsidRPr="00F30243" w:rsidRDefault="00D87FFE" w:rsidP="006758D4">
            <w:pPr>
              <w:jc w:val="center"/>
              <w:rPr>
                <w:rFonts w:eastAsia="Times New Roman"/>
                <w:color w:val="333333"/>
                <w:lang w:eastAsia="ru-RU"/>
              </w:rPr>
            </w:pPr>
            <w:r w:rsidRPr="00F30243">
              <w:rPr>
                <w:rFonts w:eastAsia="Times New Roman"/>
                <w:color w:val="333333"/>
                <w:lang w:eastAsia="ru-RU"/>
              </w:rPr>
              <w:t>процентов</w:t>
            </w:r>
          </w:p>
        </w:tc>
        <w:tc>
          <w:tcPr>
            <w:tcW w:w="1276" w:type="dxa"/>
            <w:shd w:val="clear" w:color="auto" w:fill="auto"/>
            <w:noWrap/>
            <w:vAlign w:val="center"/>
            <w:hideMark/>
          </w:tcPr>
          <w:p w:rsidR="00D87FFE" w:rsidRPr="00F30243" w:rsidRDefault="00D87FFE" w:rsidP="006758D4">
            <w:pPr>
              <w:jc w:val="center"/>
              <w:rPr>
                <w:rFonts w:eastAsia="Times New Roman"/>
                <w:lang w:eastAsia="ru-RU"/>
              </w:rPr>
            </w:pPr>
            <w:r w:rsidRPr="00F30243">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F30243">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2B4A36" w:rsidRDefault="00D87FFE" w:rsidP="006758D4">
            <w:pPr>
              <w:jc w:val="center"/>
              <w:rPr>
                <w:rFonts w:eastAsia="Times New Roman"/>
                <w:color w:val="333333"/>
                <w:lang w:eastAsia="ru-RU"/>
              </w:rPr>
            </w:pPr>
            <w:r w:rsidRPr="002B4A36">
              <w:rPr>
                <w:rFonts w:eastAsia="Times New Roman"/>
                <w:color w:val="333333"/>
                <w:lang w:eastAsia="ru-RU"/>
              </w:rPr>
              <w:t>18.</w:t>
            </w:r>
          </w:p>
        </w:tc>
        <w:tc>
          <w:tcPr>
            <w:tcW w:w="3372" w:type="dxa"/>
            <w:shd w:val="clear" w:color="auto" w:fill="auto"/>
            <w:vAlign w:val="center"/>
            <w:hideMark/>
          </w:tcPr>
          <w:p w:rsidR="00D87FFE" w:rsidRPr="002B4A36" w:rsidRDefault="00D87FFE" w:rsidP="006758D4">
            <w:pPr>
              <w:jc w:val="left"/>
              <w:rPr>
                <w:rFonts w:eastAsia="Times New Roman"/>
                <w:color w:val="333333"/>
                <w:lang w:eastAsia="ru-RU"/>
              </w:rPr>
            </w:pPr>
            <w:r w:rsidRPr="002B4A36">
              <w:rPr>
                <w:rFonts w:eastAsia="Times New Roman"/>
                <w:color w:val="333333"/>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59" w:type="dxa"/>
            <w:shd w:val="clear" w:color="auto" w:fill="auto"/>
            <w:vAlign w:val="center"/>
            <w:hideMark/>
          </w:tcPr>
          <w:p w:rsidR="00D87FFE" w:rsidRPr="002B4A36" w:rsidRDefault="00D87FFE" w:rsidP="006758D4">
            <w:pPr>
              <w:jc w:val="center"/>
              <w:rPr>
                <w:rFonts w:eastAsia="Times New Roman"/>
                <w:color w:val="333333"/>
                <w:lang w:eastAsia="ru-RU"/>
              </w:rPr>
            </w:pPr>
            <w:r w:rsidRPr="002B4A36">
              <w:rPr>
                <w:rFonts w:eastAsia="Times New Roman"/>
                <w:color w:val="333333"/>
                <w:lang w:eastAsia="ru-RU"/>
              </w:rPr>
              <w:t>тыс. рублей</w:t>
            </w:r>
          </w:p>
        </w:tc>
        <w:tc>
          <w:tcPr>
            <w:tcW w:w="1276" w:type="dxa"/>
            <w:shd w:val="clear" w:color="auto" w:fill="auto"/>
            <w:noWrap/>
            <w:vAlign w:val="center"/>
            <w:hideMark/>
          </w:tcPr>
          <w:p w:rsidR="00D87FFE" w:rsidRPr="002B4A36" w:rsidRDefault="00D87FFE" w:rsidP="006758D4">
            <w:pPr>
              <w:jc w:val="center"/>
              <w:rPr>
                <w:rFonts w:eastAsia="Times New Roman"/>
                <w:lang w:eastAsia="ru-RU"/>
              </w:rPr>
            </w:pPr>
            <w:r w:rsidRPr="002B4A36">
              <w:rPr>
                <w:rFonts w:eastAsia="Times New Roman"/>
                <w:lang w:eastAsia="ru-RU"/>
              </w:rPr>
              <w:t>19,65</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2B4A36">
              <w:rPr>
                <w:rFonts w:eastAsia="Times New Roman"/>
                <w:lang w:eastAsia="ru-RU"/>
              </w:rPr>
              <w:t>17,18</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13,14</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17,47</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18,17</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18,90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19.</w:t>
            </w:r>
          </w:p>
        </w:tc>
        <w:tc>
          <w:tcPr>
            <w:tcW w:w="3372" w:type="dxa"/>
            <w:tcBorders>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81</w:t>
            </w:r>
          </w:p>
        </w:tc>
        <w:tc>
          <w:tcPr>
            <w:tcW w:w="1275"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82</w:t>
            </w:r>
          </w:p>
        </w:tc>
        <w:tc>
          <w:tcPr>
            <w:tcW w:w="1276" w:type="dxa"/>
            <w:tcBorders>
              <w:bottom w:val="single" w:sz="4" w:space="0" w:color="auto"/>
            </w:tcBorders>
            <w:shd w:val="clear" w:color="auto" w:fill="auto"/>
            <w:noWrap/>
            <w:vAlign w:val="center"/>
            <w:hideMark/>
          </w:tcPr>
          <w:p w:rsidR="00D87FFE" w:rsidRDefault="00D87FFE" w:rsidP="006758D4">
            <w:pPr>
              <w:jc w:val="center"/>
            </w:pPr>
            <w:r>
              <w:t>82,5</w:t>
            </w:r>
          </w:p>
        </w:tc>
        <w:tc>
          <w:tcPr>
            <w:tcW w:w="1276" w:type="dxa"/>
            <w:tcBorders>
              <w:bottom w:val="single" w:sz="4" w:space="0" w:color="auto"/>
            </w:tcBorders>
            <w:shd w:val="clear" w:color="auto" w:fill="auto"/>
            <w:noWrap/>
            <w:vAlign w:val="center"/>
            <w:hideMark/>
          </w:tcPr>
          <w:p w:rsidR="00D87FFE" w:rsidRDefault="00D87FFE" w:rsidP="006758D4">
            <w:pPr>
              <w:jc w:val="center"/>
            </w:pPr>
            <w:r>
              <w:t>83</w:t>
            </w:r>
          </w:p>
        </w:tc>
        <w:tc>
          <w:tcPr>
            <w:tcW w:w="1276" w:type="dxa"/>
            <w:tcBorders>
              <w:bottom w:val="single" w:sz="4" w:space="0" w:color="auto"/>
            </w:tcBorders>
            <w:shd w:val="clear" w:color="auto" w:fill="auto"/>
            <w:noWrap/>
            <w:vAlign w:val="center"/>
            <w:hideMark/>
          </w:tcPr>
          <w:p w:rsidR="00D87FFE" w:rsidRDefault="00D87FFE" w:rsidP="006758D4">
            <w:pPr>
              <w:jc w:val="center"/>
            </w:pPr>
            <w:r>
              <w:t>83,5</w:t>
            </w:r>
          </w:p>
        </w:tc>
        <w:tc>
          <w:tcPr>
            <w:tcW w:w="1417" w:type="dxa"/>
            <w:tcBorders>
              <w:bottom w:val="single" w:sz="4" w:space="0" w:color="auto"/>
            </w:tcBorders>
            <w:vAlign w:val="center"/>
          </w:tcPr>
          <w:p w:rsidR="00D87FFE" w:rsidRDefault="00D87FFE" w:rsidP="006758D4">
            <w:pPr>
              <w:jc w:val="center"/>
            </w:pPr>
            <w:r>
              <w:t>83,7</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3885" w:type="dxa"/>
            <w:gridSpan w:val="2"/>
            <w:tcBorders>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IV. Культура</w:t>
            </w:r>
          </w:p>
        </w:tc>
        <w:tc>
          <w:tcPr>
            <w:tcW w:w="1559" w:type="dxa"/>
            <w:tcBorders>
              <w:left w:val="nil"/>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20.</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Уровень фактической обеспеченности учреждениями культуры от нормативной потребности:</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417" w:type="dxa"/>
            <w:vAlign w:val="center"/>
          </w:tcPr>
          <w:p w:rsidR="00D87FFE" w:rsidRPr="00753485" w:rsidRDefault="00D87FFE" w:rsidP="006758D4">
            <w:pPr>
              <w:jc w:val="center"/>
              <w:rPr>
                <w:rFonts w:eastAsia="Times New Roman"/>
                <w:lang w:eastAsia="ru-RU"/>
              </w:rPr>
            </w:pP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Клубов и учреждений клубного типа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147</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147</w:t>
            </w:r>
          </w:p>
        </w:tc>
        <w:tc>
          <w:tcPr>
            <w:tcW w:w="1276" w:type="dxa"/>
            <w:shd w:val="clear" w:color="auto" w:fill="auto"/>
            <w:noWrap/>
            <w:vAlign w:val="center"/>
            <w:hideMark/>
          </w:tcPr>
          <w:p w:rsidR="00D87FFE" w:rsidRDefault="00D87FFE" w:rsidP="006758D4">
            <w:pPr>
              <w:jc w:val="center"/>
            </w:pPr>
            <w:r>
              <w:t>147</w:t>
            </w:r>
          </w:p>
        </w:tc>
        <w:tc>
          <w:tcPr>
            <w:tcW w:w="1276" w:type="dxa"/>
            <w:shd w:val="clear" w:color="auto" w:fill="auto"/>
            <w:noWrap/>
            <w:vAlign w:val="center"/>
            <w:hideMark/>
          </w:tcPr>
          <w:p w:rsidR="00D87FFE" w:rsidRDefault="00D87FFE" w:rsidP="006758D4">
            <w:pPr>
              <w:jc w:val="center"/>
            </w:pPr>
            <w:r>
              <w:t>146</w:t>
            </w:r>
          </w:p>
        </w:tc>
        <w:tc>
          <w:tcPr>
            <w:tcW w:w="1276" w:type="dxa"/>
            <w:shd w:val="clear" w:color="auto" w:fill="auto"/>
            <w:noWrap/>
            <w:vAlign w:val="center"/>
            <w:hideMark/>
          </w:tcPr>
          <w:p w:rsidR="00D87FFE" w:rsidRDefault="00D87FFE" w:rsidP="006758D4">
            <w:pPr>
              <w:jc w:val="center"/>
            </w:pPr>
            <w:r>
              <w:t>146</w:t>
            </w:r>
          </w:p>
        </w:tc>
        <w:tc>
          <w:tcPr>
            <w:tcW w:w="1417" w:type="dxa"/>
            <w:vAlign w:val="center"/>
          </w:tcPr>
          <w:p w:rsidR="00D87FFE" w:rsidRDefault="00D87FFE" w:rsidP="006758D4">
            <w:pPr>
              <w:jc w:val="center"/>
            </w:pPr>
            <w:r>
              <w:t>145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Библиотек</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118</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118</w:t>
            </w:r>
          </w:p>
        </w:tc>
        <w:tc>
          <w:tcPr>
            <w:tcW w:w="1276" w:type="dxa"/>
            <w:shd w:val="clear" w:color="auto" w:fill="auto"/>
            <w:noWrap/>
            <w:vAlign w:val="center"/>
            <w:hideMark/>
          </w:tcPr>
          <w:p w:rsidR="00D87FFE" w:rsidRDefault="00D87FFE" w:rsidP="006758D4">
            <w:pPr>
              <w:jc w:val="center"/>
            </w:pPr>
            <w:r>
              <w:t>117</w:t>
            </w:r>
          </w:p>
        </w:tc>
        <w:tc>
          <w:tcPr>
            <w:tcW w:w="1276" w:type="dxa"/>
            <w:shd w:val="clear" w:color="auto" w:fill="auto"/>
            <w:noWrap/>
            <w:vAlign w:val="center"/>
            <w:hideMark/>
          </w:tcPr>
          <w:p w:rsidR="00D87FFE" w:rsidRDefault="00D87FFE" w:rsidP="006758D4">
            <w:pPr>
              <w:jc w:val="center"/>
            </w:pPr>
            <w:r>
              <w:t>117</w:t>
            </w:r>
          </w:p>
        </w:tc>
        <w:tc>
          <w:tcPr>
            <w:tcW w:w="1276" w:type="dxa"/>
            <w:shd w:val="clear" w:color="auto" w:fill="auto"/>
            <w:noWrap/>
            <w:vAlign w:val="center"/>
            <w:hideMark/>
          </w:tcPr>
          <w:p w:rsidR="00D87FFE" w:rsidRDefault="00D87FFE" w:rsidP="006758D4">
            <w:pPr>
              <w:jc w:val="center"/>
            </w:pPr>
            <w:r>
              <w:t>117</w:t>
            </w:r>
          </w:p>
        </w:tc>
        <w:tc>
          <w:tcPr>
            <w:tcW w:w="1417" w:type="dxa"/>
            <w:vAlign w:val="center"/>
          </w:tcPr>
          <w:p w:rsidR="00D87FFE" w:rsidRDefault="00D87FFE" w:rsidP="006758D4">
            <w:pPr>
              <w:jc w:val="center"/>
            </w:pPr>
            <w:r>
              <w:t>116</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Парков культуры и отдыха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29</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29</w:t>
            </w:r>
          </w:p>
        </w:tc>
        <w:tc>
          <w:tcPr>
            <w:tcW w:w="1276" w:type="dxa"/>
            <w:shd w:val="clear" w:color="auto" w:fill="auto"/>
            <w:noWrap/>
            <w:vAlign w:val="center"/>
            <w:hideMark/>
          </w:tcPr>
          <w:p w:rsidR="00D87FFE" w:rsidRDefault="00D87FFE" w:rsidP="006758D4">
            <w:pPr>
              <w:jc w:val="center"/>
            </w:pPr>
            <w:r>
              <w:t>29</w:t>
            </w:r>
          </w:p>
        </w:tc>
        <w:tc>
          <w:tcPr>
            <w:tcW w:w="1276" w:type="dxa"/>
            <w:shd w:val="clear" w:color="auto" w:fill="auto"/>
            <w:noWrap/>
            <w:vAlign w:val="center"/>
            <w:hideMark/>
          </w:tcPr>
          <w:p w:rsidR="00D87FFE" w:rsidRDefault="00D87FFE" w:rsidP="006758D4">
            <w:pPr>
              <w:jc w:val="center"/>
            </w:pPr>
            <w:r>
              <w:t>29</w:t>
            </w:r>
          </w:p>
        </w:tc>
        <w:tc>
          <w:tcPr>
            <w:tcW w:w="1276" w:type="dxa"/>
            <w:shd w:val="clear" w:color="auto" w:fill="auto"/>
            <w:noWrap/>
            <w:vAlign w:val="center"/>
            <w:hideMark/>
          </w:tcPr>
          <w:p w:rsidR="00D87FFE" w:rsidRDefault="00D87FFE" w:rsidP="006758D4">
            <w:pPr>
              <w:jc w:val="center"/>
            </w:pPr>
            <w:r>
              <w:t>29</w:t>
            </w:r>
          </w:p>
        </w:tc>
        <w:tc>
          <w:tcPr>
            <w:tcW w:w="1417" w:type="dxa"/>
            <w:vAlign w:val="center"/>
          </w:tcPr>
          <w:p w:rsidR="00D87FFE" w:rsidRDefault="00D87FFE" w:rsidP="006758D4">
            <w:pPr>
              <w:jc w:val="center"/>
            </w:pPr>
            <w:r>
              <w:t>29</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21.</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20</w:t>
            </w:r>
          </w:p>
        </w:tc>
        <w:tc>
          <w:tcPr>
            <w:tcW w:w="1276" w:type="dxa"/>
            <w:shd w:val="clear" w:color="auto" w:fill="auto"/>
            <w:noWrap/>
            <w:vAlign w:val="center"/>
            <w:hideMark/>
          </w:tcPr>
          <w:p w:rsidR="00D87FFE" w:rsidRDefault="00D87FFE" w:rsidP="006758D4">
            <w:pPr>
              <w:jc w:val="center"/>
            </w:pPr>
            <w:r>
              <w:t>30</w:t>
            </w:r>
          </w:p>
        </w:tc>
        <w:tc>
          <w:tcPr>
            <w:tcW w:w="1276" w:type="dxa"/>
            <w:shd w:val="clear" w:color="auto" w:fill="auto"/>
            <w:noWrap/>
            <w:vAlign w:val="center"/>
            <w:hideMark/>
          </w:tcPr>
          <w:p w:rsidR="00D87FFE" w:rsidRDefault="00D87FFE" w:rsidP="006758D4">
            <w:pPr>
              <w:jc w:val="center"/>
            </w:pPr>
            <w:r>
              <w:t>40</w:t>
            </w:r>
          </w:p>
        </w:tc>
        <w:tc>
          <w:tcPr>
            <w:tcW w:w="1276" w:type="dxa"/>
            <w:shd w:val="clear" w:color="auto" w:fill="auto"/>
            <w:noWrap/>
            <w:vAlign w:val="center"/>
            <w:hideMark/>
          </w:tcPr>
          <w:p w:rsidR="00D87FFE" w:rsidRDefault="00D87FFE" w:rsidP="006758D4">
            <w:pPr>
              <w:jc w:val="center"/>
            </w:pPr>
            <w:r>
              <w:t>20</w:t>
            </w:r>
          </w:p>
        </w:tc>
        <w:tc>
          <w:tcPr>
            <w:tcW w:w="1417" w:type="dxa"/>
            <w:vAlign w:val="center"/>
          </w:tcPr>
          <w:p w:rsidR="00D87FFE" w:rsidRDefault="00D87FFE" w:rsidP="006758D4">
            <w:pPr>
              <w:jc w:val="center"/>
            </w:pPr>
            <w: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22.</w:t>
            </w:r>
          </w:p>
        </w:tc>
        <w:tc>
          <w:tcPr>
            <w:tcW w:w="3372" w:type="dxa"/>
            <w:tcBorders>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559"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5"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tcBorders>
              <w:bottom w:val="single" w:sz="4" w:space="0" w:color="auto"/>
            </w:tcBorders>
            <w:shd w:val="clear" w:color="auto" w:fill="auto"/>
            <w:noWrap/>
            <w:vAlign w:val="center"/>
            <w:hideMark/>
          </w:tcPr>
          <w:p w:rsidR="00D87FFE" w:rsidRDefault="00D87FFE" w:rsidP="006758D4">
            <w:pPr>
              <w:jc w:val="center"/>
            </w:pPr>
            <w:r>
              <w:t>0</w:t>
            </w:r>
          </w:p>
        </w:tc>
        <w:tc>
          <w:tcPr>
            <w:tcW w:w="1276" w:type="dxa"/>
            <w:tcBorders>
              <w:bottom w:val="single" w:sz="4" w:space="0" w:color="auto"/>
            </w:tcBorders>
            <w:shd w:val="clear" w:color="auto" w:fill="auto"/>
            <w:noWrap/>
            <w:vAlign w:val="center"/>
            <w:hideMark/>
          </w:tcPr>
          <w:p w:rsidR="00D87FFE" w:rsidRDefault="00D87FFE" w:rsidP="006758D4">
            <w:pPr>
              <w:jc w:val="center"/>
            </w:pPr>
            <w:r>
              <w:t>0</w:t>
            </w:r>
          </w:p>
        </w:tc>
        <w:tc>
          <w:tcPr>
            <w:tcW w:w="1276" w:type="dxa"/>
            <w:tcBorders>
              <w:bottom w:val="single" w:sz="4" w:space="0" w:color="auto"/>
            </w:tcBorders>
            <w:shd w:val="clear" w:color="auto" w:fill="auto"/>
            <w:noWrap/>
            <w:vAlign w:val="center"/>
            <w:hideMark/>
          </w:tcPr>
          <w:p w:rsidR="00D87FFE" w:rsidRDefault="00D87FFE" w:rsidP="006758D4">
            <w:pPr>
              <w:jc w:val="center"/>
            </w:pPr>
            <w:r>
              <w:t>0</w:t>
            </w:r>
          </w:p>
        </w:tc>
        <w:tc>
          <w:tcPr>
            <w:tcW w:w="1417" w:type="dxa"/>
            <w:tcBorders>
              <w:bottom w:val="single" w:sz="4" w:space="0" w:color="auto"/>
            </w:tcBorders>
            <w:vAlign w:val="center"/>
          </w:tcPr>
          <w:p w:rsidR="00D87FFE" w:rsidRDefault="00D87FFE" w:rsidP="006758D4">
            <w:pPr>
              <w:jc w:val="center"/>
            </w:pPr>
            <w:r>
              <w:t>0</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V. Физическая культура и спорт</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97071D" w:rsidTr="006758D4">
        <w:tc>
          <w:tcPr>
            <w:tcW w:w="513" w:type="dxa"/>
            <w:shd w:val="clear" w:color="auto" w:fill="auto"/>
            <w:vAlign w:val="center"/>
            <w:hideMark/>
          </w:tcPr>
          <w:p w:rsidR="00D87FFE" w:rsidRPr="00883055" w:rsidRDefault="00D87FFE" w:rsidP="006758D4">
            <w:pPr>
              <w:jc w:val="center"/>
              <w:rPr>
                <w:rFonts w:eastAsia="Times New Roman"/>
                <w:color w:val="333333"/>
                <w:lang w:eastAsia="ru-RU"/>
              </w:rPr>
            </w:pPr>
            <w:r w:rsidRPr="00883055">
              <w:rPr>
                <w:rFonts w:eastAsia="Times New Roman"/>
                <w:color w:val="333333"/>
                <w:lang w:eastAsia="ru-RU"/>
              </w:rPr>
              <w:t>23.</w:t>
            </w:r>
          </w:p>
        </w:tc>
        <w:tc>
          <w:tcPr>
            <w:tcW w:w="3372" w:type="dxa"/>
            <w:shd w:val="clear" w:color="auto" w:fill="auto"/>
            <w:vAlign w:val="center"/>
            <w:hideMark/>
          </w:tcPr>
          <w:p w:rsidR="00D87FFE" w:rsidRPr="00883055" w:rsidRDefault="00D87FFE" w:rsidP="006758D4">
            <w:pPr>
              <w:jc w:val="left"/>
              <w:rPr>
                <w:rFonts w:eastAsia="Times New Roman"/>
                <w:color w:val="333333"/>
                <w:lang w:eastAsia="ru-RU"/>
              </w:rPr>
            </w:pPr>
            <w:r w:rsidRPr="00883055">
              <w:rPr>
                <w:rFonts w:eastAsia="Times New Roman"/>
                <w:color w:val="333333"/>
                <w:lang w:eastAsia="ru-RU"/>
              </w:rPr>
              <w:t>Доля населения, систематически занимающегося физической культурой и спортом, процентов</w:t>
            </w:r>
          </w:p>
        </w:tc>
        <w:tc>
          <w:tcPr>
            <w:tcW w:w="1559" w:type="dxa"/>
            <w:shd w:val="clear" w:color="auto" w:fill="auto"/>
            <w:vAlign w:val="center"/>
            <w:hideMark/>
          </w:tcPr>
          <w:p w:rsidR="00D87FFE" w:rsidRPr="00883055" w:rsidRDefault="00D87FFE" w:rsidP="006758D4">
            <w:pPr>
              <w:jc w:val="center"/>
              <w:rPr>
                <w:rFonts w:eastAsia="Times New Roman"/>
                <w:color w:val="333333"/>
                <w:lang w:eastAsia="ru-RU"/>
              </w:rPr>
            </w:pPr>
            <w:r w:rsidRPr="00883055">
              <w:rPr>
                <w:rFonts w:eastAsia="Times New Roman"/>
                <w:color w:val="333333"/>
                <w:lang w:eastAsia="ru-RU"/>
              </w:rPr>
              <w:t>процентов</w:t>
            </w:r>
          </w:p>
        </w:tc>
        <w:tc>
          <w:tcPr>
            <w:tcW w:w="1276" w:type="dxa"/>
            <w:shd w:val="clear" w:color="auto" w:fill="auto"/>
            <w:noWrap/>
            <w:vAlign w:val="center"/>
            <w:hideMark/>
          </w:tcPr>
          <w:p w:rsidR="00D87FFE" w:rsidRPr="00883055" w:rsidRDefault="00D87FFE" w:rsidP="006758D4">
            <w:pPr>
              <w:jc w:val="center"/>
              <w:rPr>
                <w:rFonts w:eastAsia="Times New Roman"/>
                <w:lang w:eastAsia="ru-RU"/>
              </w:rPr>
            </w:pPr>
            <w:r w:rsidRPr="00883055">
              <w:rPr>
                <w:rFonts w:eastAsia="Times New Roman"/>
                <w:lang w:eastAsia="ru-RU"/>
              </w:rPr>
              <w:t>32</w:t>
            </w:r>
          </w:p>
        </w:tc>
        <w:tc>
          <w:tcPr>
            <w:tcW w:w="1275" w:type="dxa"/>
            <w:shd w:val="clear" w:color="auto" w:fill="auto"/>
            <w:noWrap/>
            <w:vAlign w:val="center"/>
            <w:hideMark/>
          </w:tcPr>
          <w:p w:rsidR="00D87FFE" w:rsidRPr="00883055" w:rsidRDefault="00D87FFE" w:rsidP="006758D4">
            <w:pPr>
              <w:jc w:val="center"/>
              <w:rPr>
                <w:rFonts w:eastAsia="Times New Roman"/>
                <w:lang w:eastAsia="ru-RU"/>
              </w:rPr>
            </w:pPr>
            <w:r w:rsidRPr="00883055">
              <w:rPr>
                <w:rFonts w:eastAsia="Times New Roman"/>
                <w:lang w:eastAsia="ru-RU"/>
              </w:rPr>
              <w:t>34</w:t>
            </w:r>
          </w:p>
        </w:tc>
        <w:tc>
          <w:tcPr>
            <w:tcW w:w="1276" w:type="dxa"/>
            <w:shd w:val="clear" w:color="auto" w:fill="auto"/>
            <w:noWrap/>
            <w:vAlign w:val="center"/>
            <w:hideMark/>
          </w:tcPr>
          <w:p w:rsidR="00D87FFE" w:rsidRPr="00461884" w:rsidRDefault="00D87FFE" w:rsidP="006758D4">
            <w:pPr>
              <w:jc w:val="center"/>
            </w:pPr>
            <w:r>
              <w:t>39,3</w:t>
            </w:r>
          </w:p>
        </w:tc>
        <w:tc>
          <w:tcPr>
            <w:tcW w:w="1276" w:type="dxa"/>
            <w:shd w:val="clear" w:color="auto" w:fill="auto"/>
            <w:noWrap/>
            <w:vAlign w:val="center"/>
            <w:hideMark/>
          </w:tcPr>
          <w:p w:rsidR="00D87FFE" w:rsidRDefault="00D87FFE" w:rsidP="006758D4">
            <w:pPr>
              <w:jc w:val="center"/>
            </w:pPr>
            <w:r>
              <w:t>43</w:t>
            </w:r>
          </w:p>
        </w:tc>
        <w:tc>
          <w:tcPr>
            <w:tcW w:w="1276" w:type="dxa"/>
            <w:shd w:val="clear" w:color="auto" w:fill="auto"/>
            <w:noWrap/>
            <w:vAlign w:val="center"/>
            <w:hideMark/>
          </w:tcPr>
          <w:p w:rsidR="00D87FFE" w:rsidRDefault="00D87FFE" w:rsidP="006758D4">
            <w:pPr>
              <w:jc w:val="center"/>
            </w:pPr>
            <w:r>
              <w:t>47</w:t>
            </w:r>
          </w:p>
        </w:tc>
        <w:tc>
          <w:tcPr>
            <w:tcW w:w="1417" w:type="dxa"/>
            <w:vAlign w:val="center"/>
          </w:tcPr>
          <w:p w:rsidR="00D87FFE" w:rsidRDefault="00D87FFE" w:rsidP="006758D4">
            <w:pPr>
              <w:jc w:val="center"/>
            </w:pPr>
            <w:r>
              <w:t>50</w:t>
            </w:r>
          </w:p>
        </w:tc>
        <w:tc>
          <w:tcPr>
            <w:tcW w:w="2410" w:type="dxa"/>
            <w:shd w:val="clear" w:color="auto" w:fill="auto"/>
            <w:vAlign w:val="center"/>
            <w:hideMark/>
          </w:tcPr>
          <w:p w:rsidR="00D87FFE" w:rsidRPr="0097071D" w:rsidRDefault="00D87FFE" w:rsidP="006758D4">
            <w:pPr>
              <w:jc w:val="left"/>
              <w:rPr>
                <w:rFonts w:eastAsia="Times New Roman"/>
                <w:highlight w:val="yellow"/>
                <w:lang w:eastAsia="ru-RU"/>
              </w:rPr>
            </w:pPr>
            <w:r w:rsidRPr="00883055">
              <w:rPr>
                <w:rFonts w:eastAsia="Times New Roman"/>
                <w:lang w:eastAsia="ru-RU"/>
              </w:rPr>
              <w:t> </w:t>
            </w:r>
          </w:p>
        </w:tc>
      </w:tr>
      <w:tr w:rsidR="00D87FFE" w:rsidRPr="00753485" w:rsidTr="006758D4">
        <w:tc>
          <w:tcPr>
            <w:tcW w:w="513" w:type="dxa"/>
            <w:tcBorders>
              <w:bottom w:val="single" w:sz="4" w:space="0" w:color="auto"/>
            </w:tcBorders>
            <w:shd w:val="clear" w:color="auto" w:fill="auto"/>
            <w:tcMar>
              <w:left w:w="28" w:type="dxa"/>
              <w:right w:w="28" w:type="dxa"/>
            </w:tcMar>
            <w:vAlign w:val="center"/>
            <w:hideMark/>
          </w:tcPr>
          <w:p w:rsidR="00D87FFE" w:rsidRPr="00883055" w:rsidRDefault="00D87FFE" w:rsidP="006758D4">
            <w:pPr>
              <w:jc w:val="center"/>
              <w:rPr>
                <w:rFonts w:eastAsia="Times New Roman"/>
                <w:color w:val="333333"/>
                <w:lang w:eastAsia="ru-RU"/>
              </w:rPr>
            </w:pPr>
            <w:r w:rsidRPr="00883055">
              <w:rPr>
                <w:rFonts w:eastAsia="Times New Roman"/>
                <w:color w:val="333333"/>
                <w:lang w:eastAsia="ru-RU"/>
              </w:rPr>
              <w:lastRenderedPageBreak/>
              <w:t>23.1</w:t>
            </w:r>
          </w:p>
        </w:tc>
        <w:tc>
          <w:tcPr>
            <w:tcW w:w="3372" w:type="dxa"/>
            <w:tcBorders>
              <w:bottom w:val="single" w:sz="4" w:space="0" w:color="auto"/>
            </w:tcBorders>
            <w:shd w:val="clear" w:color="auto" w:fill="auto"/>
            <w:vAlign w:val="center"/>
            <w:hideMark/>
          </w:tcPr>
          <w:p w:rsidR="00D87FFE" w:rsidRPr="00883055" w:rsidRDefault="00D87FFE" w:rsidP="006758D4">
            <w:pPr>
              <w:jc w:val="left"/>
              <w:rPr>
                <w:rFonts w:eastAsia="Times New Roman"/>
                <w:color w:val="333333"/>
                <w:lang w:eastAsia="ru-RU"/>
              </w:rPr>
            </w:pPr>
            <w:r w:rsidRPr="00883055">
              <w:rPr>
                <w:rFonts w:eastAsia="Times New Roman"/>
                <w:color w:val="333333"/>
                <w:lang w:eastAsia="ru-RU"/>
              </w:rPr>
              <w:t>Доля обучающихся, систематически занимающихся физической культурой и спортом, в общей численности обучающихся, процентов</w:t>
            </w:r>
          </w:p>
        </w:tc>
        <w:tc>
          <w:tcPr>
            <w:tcW w:w="1559" w:type="dxa"/>
            <w:tcBorders>
              <w:bottom w:val="single" w:sz="4" w:space="0" w:color="auto"/>
            </w:tcBorders>
            <w:shd w:val="clear" w:color="auto" w:fill="auto"/>
            <w:vAlign w:val="center"/>
            <w:hideMark/>
          </w:tcPr>
          <w:p w:rsidR="00D87FFE" w:rsidRPr="00883055" w:rsidRDefault="00D87FFE" w:rsidP="006758D4">
            <w:pPr>
              <w:jc w:val="center"/>
              <w:rPr>
                <w:rFonts w:eastAsia="Times New Roman"/>
                <w:color w:val="333333"/>
                <w:lang w:eastAsia="ru-RU"/>
              </w:rPr>
            </w:pPr>
            <w:r w:rsidRPr="00883055">
              <w:rPr>
                <w:rFonts w:eastAsia="Times New Roman"/>
                <w:color w:val="333333"/>
                <w:lang w:eastAsia="ru-RU"/>
              </w:rPr>
              <w:t>процентов</w:t>
            </w:r>
          </w:p>
        </w:tc>
        <w:tc>
          <w:tcPr>
            <w:tcW w:w="1276" w:type="dxa"/>
            <w:tcBorders>
              <w:bottom w:val="single" w:sz="4" w:space="0" w:color="auto"/>
            </w:tcBorders>
            <w:shd w:val="clear" w:color="auto" w:fill="auto"/>
            <w:noWrap/>
            <w:vAlign w:val="center"/>
            <w:hideMark/>
          </w:tcPr>
          <w:p w:rsidR="00D87FFE" w:rsidRPr="00883055" w:rsidRDefault="00D87FFE" w:rsidP="006758D4">
            <w:pPr>
              <w:jc w:val="center"/>
              <w:rPr>
                <w:rFonts w:eastAsia="Times New Roman"/>
                <w:lang w:eastAsia="ru-RU"/>
              </w:rPr>
            </w:pPr>
            <w:r w:rsidRPr="00883055">
              <w:rPr>
                <w:rFonts w:eastAsia="Times New Roman"/>
                <w:lang w:eastAsia="ru-RU"/>
              </w:rPr>
              <w:t>90,6</w:t>
            </w:r>
          </w:p>
        </w:tc>
        <w:tc>
          <w:tcPr>
            <w:tcW w:w="1275" w:type="dxa"/>
            <w:tcBorders>
              <w:bottom w:val="single" w:sz="4" w:space="0" w:color="auto"/>
            </w:tcBorders>
            <w:shd w:val="clear" w:color="auto" w:fill="auto"/>
            <w:noWrap/>
            <w:vAlign w:val="center"/>
            <w:hideMark/>
          </w:tcPr>
          <w:p w:rsidR="00D87FFE" w:rsidRPr="00883055" w:rsidRDefault="00D87FFE" w:rsidP="006758D4">
            <w:pPr>
              <w:jc w:val="center"/>
              <w:rPr>
                <w:rFonts w:eastAsia="Times New Roman"/>
                <w:lang w:eastAsia="ru-RU"/>
              </w:rPr>
            </w:pPr>
            <w:r w:rsidRPr="00883055">
              <w:rPr>
                <w:rFonts w:eastAsia="Times New Roman"/>
                <w:lang w:eastAsia="ru-RU"/>
              </w:rPr>
              <w:t>98,1</w:t>
            </w:r>
          </w:p>
        </w:tc>
        <w:tc>
          <w:tcPr>
            <w:tcW w:w="1276" w:type="dxa"/>
            <w:tcBorders>
              <w:bottom w:val="single" w:sz="4" w:space="0" w:color="auto"/>
            </w:tcBorders>
            <w:shd w:val="clear" w:color="auto" w:fill="auto"/>
            <w:noWrap/>
            <w:vAlign w:val="center"/>
            <w:hideMark/>
          </w:tcPr>
          <w:p w:rsidR="00D87FFE" w:rsidRPr="00461884" w:rsidRDefault="00D87FFE" w:rsidP="006758D4">
            <w:pPr>
              <w:jc w:val="center"/>
            </w:pPr>
            <w:r>
              <w:rPr>
                <w:lang w:val="en-US"/>
              </w:rPr>
              <w:t>95,4</w:t>
            </w:r>
          </w:p>
        </w:tc>
        <w:tc>
          <w:tcPr>
            <w:tcW w:w="1276" w:type="dxa"/>
            <w:tcBorders>
              <w:bottom w:val="single" w:sz="4" w:space="0" w:color="auto"/>
            </w:tcBorders>
            <w:shd w:val="clear" w:color="auto" w:fill="auto"/>
            <w:noWrap/>
            <w:vAlign w:val="center"/>
            <w:hideMark/>
          </w:tcPr>
          <w:p w:rsidR="00D87FFE" w:rsidRDefault="00D87FFE" w:rsidP="006758D4">
            <w:pPr>
              <w:jc w:val="center"/>
            </w:pPr>
            <w:r>
              <w:t>90</w:t>
            </w:r>
          </w:p>
        </w:tc>
        <w:tc>
          <w:tcPr>
            <w:tcW w:w="1276" w:type="dxa"/>
            <w:tcBorders>
              <w:bottom w:val="single" w:sz="4" w:space="0" w:color="auto"/>
            </w:tcBorders>
            <w:shd w:val="clear" w:color="auto" w:fill="auto"/>
            <w:noWrap/>
            <w:vAlign w:val="center"/>
            <w:hideMark/>
          </w:tcPr>
          <w:p w:rsidR="00D87FFE" w:rsidRDefault="00D87FFE" w:rsidP="006758D4">
            <w:pPr>
              <w:jc w:val="center"/>
            </w:pPr>
            <w:r>
              <w:t>90</w:t>
            </w:r>
          </w:p>
        </w:tc>
        <w:tc>
          <w:tcPr>
            <w:tcW w:w="1417" w:type="dxa"/>
            <w:tcBorders>
              <w:bottom w:val="single" w:sz="4" w:space="0" w:color="auto"/>
            </w:tcBorders>
            <w:vAlign w:val="center"/>
          </w:tcPr>
          <w:p w:rsidR="00D87FFE" w:rsidRDefault="00D87FFE" w:rsidP="006758D4">
            <w:pPr>
              <w:jc w:val="center"/>
            </w:pPr>
            <w:r>
              <w:t>90</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jc w:val="center"/>
              <w:rPr>
                <w:rFonts w:eastAsia="Times New Roman"/>
                <w:b/>
                <w:color w:val="333333"/>
                <w:lang w:eastAsia="ru-RU"/>
              </w:rPr>
            </w:pPr>
            <w:r w:rsidRPr="006A08FD">
              <w:rPr>
                <w:rFonts w:eastAsia="Times New Roman"/>
                <w:b/>
                <w:color w:val="333333"/>
                <w:lang w:eastAsia="ru-RU"/>
              </w:rPr>
              <w:t xml:space="preserve">VI. Жилищное строительство </w:t>
            </w:r>
          </w:p>
          <w:p w:rsidR="00D87FFE" w:rsidRPr="006A08FD" w:rsidRDefault="00D87FFE" w:rsidP="006758D4">
            <w:pPr>
              <w:spacing w:after="120"/>
              <w:jc w:val="center"/>
              <w:rPr>
                <w:rFonts w:eastAsia="Times New Roman"/>
                <w:b/>
                <w:color w:val="333333"/>
                <w:lang w:eastAsia="ru-RU"/>
              </w:rPr>
            </w:pPr>
            <w:r w:rsidRPr="006A08FD">
              <w:rPr>
                <w:rFonts w:eastAsia="Times New Roman"/>
                <w:b/>
                <w:color w:val="333333"/>
                <w:lang w:eastAsia="ru-RU"/>
              </w:rPr>
              <w:t>и обеспечение граждан жильем</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24.</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Общая площадь жилых помещений, приходящаяся в среднем на одного жителя - всего</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 метров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21,5</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21,5</w:t>
            </w:r>
          </w:p>
        </w:tc>
        <w:tc>
          <w:tcPr>
            <w:tcW w:w="1276" w:type="dxa"/>
            <w:shd w:val="clear" w:color="auto" w:fill="auto"/>
            <w:noWrap/>
            <w:vAlign w:val="center"/>
            <w:hideMark/>
          </w:tcPr>
          <w:p w:rsidR="00D87FFE" w:rsidRPr="009204C8" w:rsidRDefault="00D87FFE" w:rsidP="006758D4">
            <w:pPr>
              <w:tabs>
                <w:tab w:val="center" w:pos="526"/>
              </w:tabs>
              <w:ind w:firstLine="225"/>
              <w:jc w:val="center"/>
              <w:rPr>
                <w:bCs/>
                <w:szCs w:val="22"/>
              </w:rPr>
            </w:pPr>
            <w:r w:rsidRPr="009204C8">
              <w:rPr>
                <w:szCs w:val="22"/>
              </w:rPr>
              <w:t>21,71</w:t>
            </w:r>
          </w:p>
        </w:tc>
        <w:tc>
          <w:tcPr>
            <w:tcW w:w="1276" w:type="dxa"/>
            <w:shd w:val="clear" w:color="auto" w:fill="auto"/>
            <w:noWrap/>
            <w:vAlign w:val="center"/>
            <w:hideMark/>
          </w:tcPr>
          <w:p w:rsidR="00D87FFE" w:rsidRPr="009204C8" w:rsidRDefault="00D87FFE" w:rsidP="006758D4">
            <w:pPr>
              <w:tabs>
                <w:tab w:val="center" w:pos="526"/>
              </w:tabs>
              <w:ind w:firstLine="225"/>
              <w:jc w:val="center"/>
              <w:rPr>
                <w:bCs/>
                <w:szCs w:val="22"/>
              </w:rPr>
            </w:pPr>
            <w:r w:rsidRPr="009204C8">
              <w:rPr>
                <w:bCs/>
                <w:szCs w:val="22"/>
              </w:rPr>
              <w:t>22,58</w:t>
            </w:r>
          </w:p>
        </w:tc>
        <w:tc>
          <w:tcPr>
            <w:tcW w:w="1276" w:type="dxa"/>
            <w:shd w:val="clear" w:color="auto" w:fill="auto"/>
            <w:noWrap/>
            <w:vAlign w:val="center"/>
            <w:hideMark/>
          </w:tcPr>
          <w:p w:rsidR="00D87FFE" w:rsidRPr="009204C8" w:rsidRDefault="00D87FFE" w:rsidP="006758D4">
            <w:pPr>
              <w:tabs>
                <w:tab w:val="center" w:pos="526"/>
              </w:tabs>
              <w:ind w:firstLine="225"/>
              <w:jc w:val="center"/>
              <w:rPr>
                <w:bCs/>
                <w:szCs w:val="22"/>
              </w:rPr>
            </w:pPr>
            <w:r w:rsidRPr="009204C8">
              <w:rPr>
                <w:bCs/>
                <w:szCs w:val="22"/>
              </w:rPr>
              <w:t>22,6</w:t>
            </w:r>
          </w:p>
        </w:tc>
        <w:tc>
          <w:tcPr>
            <w:tcW w:w="1417" w:type="dxa"/>
            <w:vAlign w:val="center"/>
          </w:tcPr>
          <w:p w:rsidR="00D87FFE" w:rsidRPr="009204C8" w:rsidRDefault="00D87FFE" w:rsidP="006758D4">
            <w:pPr>
              <w:tabs>
                <w:tab w:val="center" w:pos="526"/>
              </w:tabs>
              <w:jc w:val="center"/>
              <w:rPr>
                <w:bCs/>
                <w:szCs w:val="22"/>
              </w:rPr>
            </w:pPr>
            <w:r w:rsidRPr="009204C8">
              <w:rPr>
                <w:bCs/>
                <w:szCs w:val="22"/>
              </w:rPr>
              <w:t>22,59</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в том числе </w:t>
            </w:r>
            <w:proofErr w:type="gramStart"/>
            <w:r w:rsidRPr="00753485">
              <w:rPr>
                <w:rFonts w:eastAsia="Times New Roman"/>
                <w:color w:val="333333"/>
                <w:lang w:eastAsia="ru-RU"/>
              </w:rPr>
              <w:t>введенная</w:t>
            </w:r>
            <w:proofErr w:type="gramEnd"/>
            <w:r w:rsidRPr="00753485">
              <w:rPr>
                <w:rFonts w:eastAsia="Times New Roman"/>
                <w:color w:val="333333"/>
                <w:lang w:eastAsia="ru-RU"/>
              </w:rPr>
              <w:t xml:space="preserve"> в действие за год</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 метров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0,16</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r>
              <w:rPr>
                <w:rFonts w:eastAsia="Times New Roman"/>
                <w:lang w:eastAsia="ru-RU"/>
              </w:rPr>
              <w:t>1</w:t>
            </w:r>
          </w:p>
        </w:tc>
        <w:tc>
          <w:tcPr>
            <w:tcW w:w="1276" w:type="dxa"/>
            <w:shd w:val="clear" w:color="auto" w:fill="auto"/>
            <w:noWrap/>
            <w:vAlign w:val="center"/>
            <w:hideMark/>
          </w:tcPr>
          <w:p w:rsidR="00D87FFE" w:rsidRPr="009204C8" w:rsidRDefault="00D87FFE" w:rsidP="006758D4">
            <w:pPr>
              <w:ind w:firstLine="225"/>
              <w:jc w:val="center"/>
              <w:rPr>
                <w:bCs/>
                <w:szCs w:val="22"/>
              </w:rPr>
            </w:pPr>
            <w:r w:rsidRPr="009204C8">
              <w:rPr>
                <w:bCs/>
                <w:szCs w:val="22"/>
              </w:rPr>
              <w:t>0,31</w:t>
            </w:r>
          </w:p>
        </w:tc>
        <w:tc>
          <w:tcPr>
            <w:tcW w:w="1276" w:type="dxa"/>
            <w:shd w:val="clear" w:color="auto" w:fill="auto"/>
            <w:noWrap/>
            <w:vAlign w:val="center"/>
            <w:hideMark/>
          </w:tcPr>
          <w:p w:rsidR="00D87FFE" w:rsidRPr="009204C8" w:rsidRDefault="00D87FFE" w:rsidP="006758D4">
            <w:pPr>
              <w:ind w:firstLine="225"/>
              <w:jc w:val="center"/>
              <w:rPr>
                <w:bCs/>
                <w:szCs w:val="22"/>
              </w:rPr>
            </w:pPr>
            <w:r w:rsidRPr="009204C8">
              <w:rPr>
                <w:bCs/>
                <w:szCs w:val="22"/>
              </w:rPr>
              <w:t>0,9</w:t>
            </w:r>
          </w:p>
        </w:tc>
        <w:tc>
          <w:tcPr>
            <w:tcW w:w="1276" w:type="dxa"/>
            <w:shd w:val="clear" w:color="auto" w:fill="auto"/>
            <w:noWrap/>
            <w:vAlign w:val="center"/>
            <w:hideMark/>
          </w:tcPr>
          <w:p w:rsidR="00D87FFE" w:rsidRPr="009204C8" w:rsidRDefault="00D87FFE" w:rsidP="006758D4">
            <w:pPr>
              <w:ind w:firstLine="225"/>
              <w:jc w:val="center"/>
              <w:rPr>
                <w:bCs/>
                <w:szCs w:val="22"/>
              </w:rPr>
            </w:pPr>
            <w:r w:rsidRPr="009204C8">
              <w:rPr>
                <w:bCs/>
                <w:szCs w:val="22"/>
              </w:rPr>
              <w:t>0,07</w:t>
            </w:r>
          </w:p>
        </w:tc>
        <w:tc>
          <w:tcPr>
            <w:tcW w:w="1417" w:type="dxa"/>
            <w:vAlign w:val="center"/>
          </w:tcPr>
          <w:p w:rsidR="00D87FFE" w:rsidRPr="009204C8" w:rsidRDefault="00D87FFE" w:rsidP="006758D4">
            <w:pPr>
              <w:jc w:val="center"/>
              <w:rPr>
                <w:bCs/>
                <w:szCs w:val="22"/>
              </w:rPr>
            </w:pPr>
            <w:r w:rsidRPr="009204C8">
              <w:rPr>
                <w:bCs/>
                <w:szCs w:val="22"/>
              </w:rPr>
              <w:t>0,07</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25.</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Площадь земельных участков, предоставленных для строительства в расчете на 10 тыс. человек населения, - всего</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гектаров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2,7</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14,6</w:t>
            </w:r>
          </w:p>
        </w:tc>
        <w:tc>
          <w:tcPr>
            <w:tcW w:w="1276" w:type="dxa"/>
            <w:shd w:val="clear" w:color="auto" w:fill="auto"/>
            <w:noWrap/>
            <w:vAlign w:val="center"/>
            <w:hideMark/>
          </w:tcPr>
          <w:p w:rsidR="00D87FFE" w:rsidRDefault="00D87FFE" w:rsidP="006758D4">
            <w:pPr>
              <w:jc w:val="center"/>
            </w:pPr>
            <w:r>
              <w:t>0,91</w:t>
            </w:r>
          </w:p>
        </w:tc>
        <w:tc>
          <w:tcPr>
            <w:tcW w:w="1276" w:type="dxa"/>
            <w:shd w:val="clear" w:color="auto" w:fill="auto"/>
            <w:noWrap/>
            <w:vAlign w:val="center"/>
            <w:hideMark/>
          </w:tcPr>
          <w:p w:rsidR="00D87FFE" w:rsidRDefault="00D87FFE" w:rsidP="006758D4">
            <w:pPr>
              <w:jc w:val="center"/>
            </w:pPr>
            <w:r>
              <w:t>0</w:t>
            </w:r>
          </w:p>
        </w:tc>
        <w:tc>
          <w:tcPr>
            <w:tcW w:w="1276" w:type="dxa"/>
            <w:shd w:val="clear" w:color="auto" w:fill="auto"/>
            <w:noWrap/>
            <w:vAlign w:val="center"/>
            <w:hideMark/>
          </w:tcPr>
          <w:p w:rsidR="00D87FFE" w:rsidRDefault="00D87FFE" w:rsidP="006758D4">
            <w:pPr>
              <w:jc w:val="center"/>
            </w:pPr>
            <w:r>
              <w:t>0</w:t>
            </w:r>
          </w:p>
        </w:tc>
        <w:tc>
          <w:tcPr>
            <w:tcW w:w="1417" w:type="dxa"/>
            <w:vAlign w:val="center"/>
          </w:tcPr>
          <w:p w:rsidR="00D87FFE" w:rsidRDefault="00D87FFE" w:rsidP="006758D4">
            <w:pPr>
              <w:jc w:val="center"/>
            </w:pPr>
            <w: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гектаров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0,28</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1,25</w:t>
            </w:r>
          </w:p>
        </w:tc>
        <w:tc>
          <w:tcPr>
            <w:tcW w:w="1276" w:type="dxa"/>
            <w:shd w:val="clear" w:color="auto" w:fill="auto"/>
            <w:noWrap/>
            <w:vAlign w:val="center"/>
            <w:hideMark/>
          </w:tcPr>
          <w:p w:rsidR="00D87FFE" w:rsidRDefault="00D87FFE" w:rsidP="006758D4">
            <w:pPr>
              <w:jc w:val="center"/>
            </w:pPr>
            <w:r>
              <w:t>0,78</w:t>
            </w:r>
          </w:p>
        </w:tc>
        <w:tc>
          <w:tcPr>
            <w:tcW w:w="1276" w:type="dxa"/>
            <w:shd w:val="clear" w:color="auto" w:fill="auto"/>
            <w:noWrap/>
            <w:vAlign w:val="center"/>
            <w:hideMark/>
          </w:tcPr>
          <w:p w:rsidR="00D87FFE" w:rsidRDefault="00D87FFE" w:rsidP="006758D4">
            <w:pPr>
              <w:jc w:val="center"/>
            </w:pPr>
            <w:r>
              <w:t>0</w:t>
            </w:r>
          </w:p>
        </w:tc>
        <w:tc>
          <w:tcPr>
            <w:tcW w:w="1276" w:type="dxa"/>
            <w:shd w:val="clear" w:color="auto" w:fill="auto"/>
            <w:noWrap/>
            <w:vAlign w:val="center"/>
            <w:hideMark/>
          </w:tcPr>
          <w:p w:rsidR="00D87FFE" w:rsidRDefault="00D87FFE" w:rsidP="006758D4">
            <w:pPr>
              <w:jc w:val="center"/>
            </w:pPr>
            <w:r>
              <w:t>0</w:t>
            </w:r>
          </w:p>
        </w:tc>
        <w:tc>
          <w:tcPr>
            <w:tcW w:w="1417" w:type="dxa"/>
            <w:vAlign w:val="center"/>
          </w:tcPr>
          <w:p w:rsidR="00D87FFE" w:rsidRDefault="00D87FFE" w:rsidP="006758D4">
            <w:pPr>
              <w:jc w:val="center"/>
            </w:pPr>
            <w: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26.</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Площадь земельных участков, предоставленных для строительства, в отношении которых </w:t>
            </w:r>
            <w:proofErr w:type="gramStart"/>
            <w:r w:rsidRPr="00753485">
              <w:rPr>
                <w:rFonts w:eastAsia="Times New Roman"/>
                <w:color w:val="333333"/>
                <w:lang w:eastAsia="ru-RU"/>
              </w:rPr>
              <w:t>с даты принятия</w:t>
            </w:r>
            <w:proofErr w:type="gramEnd"/>
            <w:r w:rsidRPr="00753485">
              <w:rPr>
                <w:rFonts w:eastAsia="Times New Roman"/>
                <w:color w:val="333333"/>
                <w:lang w:eastAsia="ru-RU"/>
              </w:rPr>
              <w:t xml:space="preserve"> решения о предоставлении земельного участка или подписания протокола о </w:t>
            </w:r>
            <w:r w:rsidRPr="00753485">
              <w:rPr>
                <w:rFonts w:eastAsia="Times New Roman"/>
                <w:color w:val="333333"/>
                <w:lang w:eastAsia="ru-RU"/>
              </w:rPr>
              <w:lastRenderedPageBreak/>
              <w:t>результатах торгов (конкурсов, аукционов) не было получено разрешение на ввод в эксплуатацию:</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417" w:type="dxa"/>
            <w:vAlign w:val="center"/>
          </w:tcPr>
          <w:p w:rsidR="00D87FFE" w:rsidRPr="00753485" w:rsidRDefault="00D87FFE" w:rsidP="006758D4">
            <w:pPr>
              <w:jc w:val="center"/>
              <w:rPr>
                <w:rFonts w:eastAsia="Times New Roman"/>
                <w:lang w:eastAsia="ru-RU"/>
              </w:rPr>
            </w:pP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lastRenderedPageBreak/>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объектов жилищного строительства - в течение 3 лет</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 метров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42</w:t>
            </w:r>
            <w:r w:rsidRPr="00753485">
              <w:rPr>
                <w:rFonts w:eastAsia="Times New Roman"/>
                <w:lang w:eastAsia="ru-RU"/>
              </w:rPr>
              <w:t>263</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42263</w:t>
            </w:r>
          </w:p>
        </w:tc>
        <w:tc>
          <w:tcPr>
            <w:tcW w:w="1276" w:type="dxa"/>
            <w:shd w:val="clear" w:color="auto" w:fill="auto"/>
            <w:noWrap/>
            <w:vAlign w:val="center"/>
            <w:hideMark/>
          </w:tcPr>
          <w:p w:rsidR="00D87FFE" w:rsidRPr="00C071AE" w:rsidRDefault="00D87FFE" w:rsidP="006758D4">
            <w:pPr>
              <w:jc w:val="center"/>
              <w:rPr>
                <w:bCs/>
                <w:szCs w:val="22"/>
              </w:rPr>
            </w:pPr>
            <w:r w:rsidRPr="00C071AE">
              <w:rPr>
                <w:bCs/>
                <w:szCs w:val="22"/>
              </w:rPr>
              <w:t>42263</w:t>
            </w:r>
          </w:p>
        </w:tc>
        <w:tc>
          <w:tcPr>
            <w:tcW w:w="1276" w:type="dxa"/>
            <w:shd w:val="clear" w:color="auto" w:fill="auto"/>
            <w:noWrap/>
            <w:vAlign w:val="center"/>
            <w:hideMark/>
          </w:tcPr>
          <w:p w:rsidR="00D87FFE" w:rsidRPr="00C071AE" w:rsidRDefault="00D87FFE" w:rsidP="006758D4">
            <w:pPr>
              <w:jc w:val="center"/>
              <w:rPr>
                <w:bCs/>
                <w:szCs w:val="22"/>
              </w:rPr>
            </w:pPr>
            <w:r w:rsidRPr="00C071AE">
              <w:rPr>
                <w:bCs/>
                <w:szCs w:val="22"/>
              </w:rPr>
              <w:t>0</w:t>
            </w:r>
          </w:p>
        </w:tc>
        <w:tc>
          <w:tcPr>
            <w:tcW w:w="1276" w:type="dxa"/>
            <w:shd w:val="clear" w:color="auto" w:fill="auto"/>
            <w:noWrap/>
            <w:vAlign w:val="center"/>
            <w:hideMark/>
          </w:tcPr>
          <w:p w:rsidR="00D87FFE" w:rsidRPr="00C071AE" w:rsidRDefault="00D87FFE" w:rsidP="006758D4">
            <w:pPr>
              <w:jc w:val="center"/>
              <w:rPr>
                <w:bCs/>
                <w:szCs w:val="22"/>
              </w:rPr>
            </w:pPr>
            <w:r w:rsidRPr="00C071AE">
              <w:rPr>
                <w:bCs/>
                <w:szCs w:val="22"/>
              </w:rPr>
              <w:t>0</w:t>
            </w:r>
          </w:p>
        </w:tc>
        <w:tc>
          <w:tcPr>
            <w:tcW w:w="1417" w:type="dxa"/>
            <w:vAlign w:val="center"/>
          </w:tcPr>
          <w:p w:rsidR="00D87FFE" w:rsidRPr="00C071AE" w:rsidRDefault="00D87FFE" w:rsidP="006758D4">
            <w:pPr>
              <w:jc w:val="center"/>
              <w:rPr>
                <w:bCs/>
                <w:szCs w:val="22"/>
              </w:rPr>
            </w:pPr>
            <w:r w:rsidRPr="00C071AE">
              <w:rPr>
                <w:bCs/>
                <w:szCs w:val="22"/>
              </w:rP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tcBorders>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иных объектов капитального строительства - в течение 5 лет</w:t>
            </w:r>
          </w:p>
        </w:tc>
        <w:tc>
          <w:tcPr>
            <w:tcW w:w="1559"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 метров</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134060</w:t>
            </w:r>
          </w:p>
        </w:tc>
        <w:tc>
          <w:tcPr>
            <w:tcW w:w="1275"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741</w:t>
            </w:r>
          </w:p>
        </w:tc>
        <w:tc>
          <w:tcPr>
            <w:tcW w:w="1276" w:type="dxa"/>
            <w:tcBorders>
              <w:bottom w:val="single" w:sz="4" w:space="0" w:color="auto"/>
            </w:tcBorders>
            <w:shd w:val="clear" w:color="auto" w:fill="auto"/>
            <w:noWrap/>
            <w:vAlign w:val="center"/>
            <w:hideMark/>
          </w:tcPr>
          <w:p w:rsidR="00D87FFE" w:rsidRPr="00C071AE" w:rsidRDefault="00D87FFE" w:rsidP="006758D4">
            <w:pPr>
              <w:jc w:val="center"/>
              <w:rPr>
                <w:bCs/>
                <w:szCs w:val="22"/>
              </w:rPr>
            </w:pPr>
            <w:r w:rsidRPr="00C071AE">
              <w:rPr>
                <w:bCs/>
                <w:szCs w:val="22"/>
              </w:rPr>
              <w:t>741</w:t>
            </w:r>
          </w:p>
        </w:tc>
        <w:tc>
          <w:tcPr>
            <w:tcW w:w="1276" w:type="dxa"/>
            <w:tcBorders>
              <w:bottom w:val="single" w:sz="4" w:space="0" w:color="auto"/>
            </w:tcBorders>
            <w:shd w:val="clear" w:color="auto" w:fill="auto"/>
            <w:noWrap/>
            <w:vAlign w:val="center"/>
            <w:hideMark/>
          </w:tcPr>
          <w:p w:rsidR="00D87FFE" w:rsidRPr="00C071AE" w:rsidRDefault="00D87FFE" w:rsidP="006758D4">
            <w:pPr>
              <w:jc w:val="center"/>
              <w:rPr>
                <w:bCs/>
                <w:szCs w:val="22"/>
              </w:rPr>
            </w:pPr>
            <w:r w:rsidRPr="00C071AE">
              <w:rPr>
                <w:bCs/>
                <w:szCs w:val="22"/>
              </w:rPr>
              <w:t>741</w:t>
            </w:r>
          </w:p>
        </w:tc>
        <w:tc>
          <w:tcPr>
            <w:tcW w:w="1276" w:type="dxa"/>
            <w:tcBorders>
              <w:bottom w:val="single" w:sz="4" w:space="0" w:color="auto"/>
            </w:tcBorders>
            <w:shd w:val="clear" w:color="auto" w:fill="auto"/>
            <w:noWrap/>
            <w:vAlign w:val="center"/>
            <w:hideMark/>
          </w:tcPr>
          <w:p w:rsidR="00D87FFE" w:rsidRPr="00C071AE" w:rsidRDefault="00D87FFE" w:rsidP="006758D4">
            <w:pPr>
              <w:jc w:val="center"/>
              <w:rPr>
                <w:bCs/>
                <w:szCs w:val="22"/>
              </w:rPr>
            </w:pPr>
            <w:r w:rsidRPr="00C071AE">
              <w:rPr>
                <w:bCs/>
                <w:szCs w:val="22"/>
              </w:rPr>
              <w:t>0</w:t>
            </w:r>
          </w:p>
        </w:tc>
        <w:tc>
          <w:tcPr>
            <w:tcW w:w="1417" w:type="dxa"/>
            <w:tcBorders>
              <w:bottom w:val="single" w:sz="4" w:space="0" w:color="auto"/>
            </w:tcBorders>
            <w:vAlign w:val="center"/>
          </w:tcPr>
          <w:p w:rsidR="00D87FFE" w:rsidRPr="00C071AE" w:rsidRDefault="00D87FFE" w:rsidP="006758D4">
            <w:pPr>
              <w:jc w:val="center"/>
              <w:rPr>
                <w:bCs/>
                <w:szCs w:val="22"/>
              </w:rPr>
            </w:pPr>
            <w:r w:rsidRPr="00C071AE">
              <w:rPr>
                <w:bCs/>
                <w:szCs w:val="22"/>
              </w:rPr>
              <w:t>0</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VII. Жилищно-коммунальное хозяйство</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27.</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99,71</w:t>
            </w:r>
          </w:p>
        </w:tc>
        <w:tc>
          <w:tcPr>
            <w:tcW w:w="1276" w:type="dxa"/>
            <w:shd w:val="clear" w:color="auto" w:fill="auto"/>
            <w:noWrap/>
            <w:vAlign w:val="center"/>
            <w:hideMark/>
          </w:tcPr>
          <w:p w:rsidR="00D87FFE" w:rsidRDefault="00D87FFE" w:rsidP="006758D4">
            <w:pPr>
              <w:jc w:val="center"/>
            </w:pPr>
            <w:r>
              <w:t>99,13</w:t>
            </w:r>
          </w:p>
        </w:tc>
        <w:tc>
          <w:tcPr>
            <w:tcW w:w="1276" w:type="dxa"/>
            <w:shd w:val="clear" w:color="auto" w:fill="auto"/>
            <w:noWrap/>
            <w:vAlign w:val="center"/>
            <w:hideMark/>
          </w:tcPr>
          <w:p w:rsidR="00D87FFE" w:rsidRDefault="00D87FFE" w:rsidP="006758D4">
            <w:pPr>
              <w:jc w:val="center"/>
            </w:pPr>
            <w:r>
              <w:t>100</w:t>
            </w:r>
          </w:p>
        </w:tc>
        <w:tc>
          <w:tcPr>
            <w:tcW w:w="1276" w:type="dxa"/>
            <w:shd w:val="clear" w:color="auto" w:fill="auto"/>
            <w:noWrap/>
            <w:vAlign w:val="center"/>
            <w:hideMark/>
          </w:tcPr>
          <w:p w:rsidR="00D87FFE" w:rsidRDefault="00D87FFE" w:rsidP="006758D4">
            <w:pPr>
              <w:jc w:val="center"/>
            </w:pPr>
            <w:r>
              <w:t>100</w:t>
            </w:r>
          </w:p>
        </w:tc>
        <w:tc>
          <w:tcPr>
            <w:tcW w:w="1417" w:type="dxa"/>
            <w:vAlign w:val="center"/>
          </w:tcPr>
          <w:p w:rsidR="00D87FFE" w:rsidRDefault="00D87FFE" w:rsidP="006758D4">
            <w:pPr>
              <w:jc w:val="center"/>
            </w:pPr>
            <w:r>
              <w:t>100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28.</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Доля организаций коммунального комплекса, осуществляющих производство товаров, оказание услуг по </w:t>
            </w:r>
            <w:proofErr w:type="spellStart"/>
            <w:r w:rsidRPr="00753485">
              <w:rPr>
                <w:rFonts w:eastAsia="Times New Roman"/>
                <w:color w:val="333333"/>
                <w:lang w:eastAsia="ru-RU"/>
              </w:rPr>
              <w:t>водо</w:t>
            </w:r>
            <w:proofErr w:type="spellEnd"/>
            <w:r w:rsidRPr="00753485">
              <w:rPr>
                <w:rFonts w:eastAsia="Times New Roman"/>
                <w:color w:val="333333"/>
                <w:lang w:eastAsia="ru-RU"/>
              </w:rPr>
              <w:t>-, тепл</w:t>
            </w:r>
            <w:proofErr w:type="gramStart"/>
            <w:r w:rsidRPr="00753485">
              <w:rPr>
                <w:rFonts w:eastAsia="Times New Roman"/>
                <w:color w:val="333333"/>
                <w:lang w:eastAsia="ru-RU"/>
              </w:rPr>
              <w:t>о-</w:t>
            </w:r>
            <w:proofErr w:type="gramEnd"/>
            <w:r w:rsidRPr="00753485">
              <w:rPr>
                <w:rFonts w:eastAsia="Times New Roman"/>
                <w:color w:val="333333"/>
                <w:lang w:eastAsia="ru-RU"/>
              </w:rPr>
              <w:t xml:space="preserve">, </w:t>
            </w:r>
            <w:proofErr w:type="spellStart"/>
            <w:r w:rsidRPr="00753485">
              <w:rPr>
                <w:rFonts w:eastAsia="Times New Roman"/>
                <w:color w:val="333333"/>
                <w:lang w:eastAsia="ru-RU"/>
              </w:rPr>
              <w:t>газо</w:t>
            </w:r>
            <w:proofErr w:type="spellEnd"/>
            <w:r w:rsidRPr="00753485">
              <w:rPr>
                <w:rFonts w:eastAsia="Times New Roman"/>
                <w:color w:val="333333"/>
                <w:lang w:eastAsia="ru-RU"/>
              </w:rPr>
              <w:t xml:space="preserve">-, электроснабжению, водоотведению, очистке сточных вод, утилизации (захоронению) твердых бытовых отходов и использующих объекты </w:t>
            </w:r>
            <w:r w:rsidRPr="00753485">
              <w:rPr>
                <w:rFonts w:eastAsia="Times New Roman"/>
                <w:color w:val="333333"/>
                <w:lang w:eastAsia="ru-RU"/>
              </w:rPr>
              <w:lastRenderedPageBreak/>
              <w:t xml:space="preserve">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53485">
              <w:rPr>
                <w:rFonts w:eastAsia="Times New Roman"/>
                <w:color w:val="333333"/>
                <w:lang w:eastAsia="ru-RU"/>
              </w:rPr>
              <w:t>осуществляющих</w:t>
            </w:r>
            <w:proofErr w:type="gramEnd"/>
            <w:r w:rsidRPr="00753485">
              <w:rPr>
                <w:rFonts w:eastAsia="Times New Roman"/>
                <w:color w:val="333333"/>
                <w:lang w:eastAsia="ru-RU"/>
              </w:rPr>
              <w:t xml:space="preserve"> свою деятельность на территории городского округа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77,8</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83,3</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83,3</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83,3</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83,3</w:t>
            </w:r>
          </w:p>
        </w:tc>
        <w:tc>
          <w:tcPr>
            <w:tcW w:w="1417" w:type="dxa"/>
            <w:vAlign w:val="center"/>
          </w:tcPr>
          <w:p w:rsidR="00D87FFE" w:rsidRPr="00753485" w:rsidRDefault="00D87FFE" w:rsidP="006758D4">
            <w:pPr>
              <w:jc w:val="center"/>
              <w:rPr>
                <w:rFonts w:eastAsia="Times New Roman"/>
                <w:lang w:eastAsia="ru-RU"/>
              </w:rPr>
            </w:pPr>
            <w:r w:rsidRPr="00753485">
              <w:rPr>
                <w:rFonts w:eastAsia="Times New Roman"/>
                <w:lang w:eastAsia="ru-RU"/>
              </w:rPr>
              <w:t>83,3</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29.</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29,1</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29,1</w:t>
            </w:r>
          </w:p>
        </w:tc>
        <w:tc>
          <w:tcPr>
            <w:tcW w:w="1276" w:type="dxa"/>
            <w:shd w:val="clear" w:color="auto" w:fill="auto"/>
            <w:noWrap/>
            <w:vAlign w:val="center"/>
            <w:hideMark/>
          </w:tcPr>
          <w:p w:rsidR="00D87FFE" w:rsidRDefault="00D87FFE" w:rsidP="006758D4">
            <w:pPr>
              <w:jc w:val="center"/>
            </w:pPr>
            <w:r>
              <w:t>29,2</w:t>
            </w:r>
          </w:p>
        </w:tc>
        <w:tc>
          <w:tcPr>
            <w:tcW w:w="1276" w:type="dxa"/>
            <w:shd w:val="clear" w:color="auto" w:fill="auto"/>
            <w:noWrap/>
            <w:vAlign w:val="center"/>
            <w:hideMark/>
          </w:tcPr>
          <w:p w:rsidR="00D87FFE" w:rsidRDefault="00D87FFE" w:rsidP="006758D4">
            <w:pPr>
              <w:jc w:val="center"/>
            </w:pPr>
            <w:r>
              <w:t>39,2</w:t>
            </w:r>
          </w:p>
        </w:tc>
        <w:tc>
          <w:tcPr>
            <w:tcW w:w="1276" w:type="dxa"/>
            <w:shd w:val="clear" w:color="auto" w:fill="auto"/>
            <w:noWrap/>
            <w:vAlign w:val="center"/>
            <w:hideMark/>
          </w:tcPr>
          <w:p w:rsidR="00D87FFE" w:rsidRDefault="00D87FFE" w:rsidP="006758D4">
            <w:pPr>
              <w:jc w:val="center"/>
            </w:pPr>
            <w:r>
              <w:t>49</w:t>
            </w:r>
          </w:p>
        </w:tc>
        <w:tc>
          <w:tcPr>
            <w:tcW w:w="1417" w:type="dxa"/>
            <w:vAlign w:val="center"/>
          </w:tcPr>
          <w:p w:rsidR="00D87FFE" w:rsidRDefault="00D87FFE" w:rsidP="006758D4">
            <w:pPr>
              <w:jc w:val="center"/>
            </w:pPr>
            <w:r>
              <w:t>65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30.</w:t>
            </w:r>
          </w:p>
        </w:tc>
        <w:tc>
          <w:tcPr>
            <w:tcW w:w="3372" w:type="dxa"/>
            <w:tcBorders>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proofErr w:type="gramStart"/>
            <w:r w:rsidRPr="00753485">
              <w:rPr>
                <w:rFonts w:eastAsia="Times New Roman"/>
                <w:color w:val="333333"/>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559"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1,0</w:t>
            </w:r>
          </w:p>
        </w:tc>
        <w:tc>
          <w:tcPr>
            <w:tcW w:w="1275"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2,93</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2,78</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1,0</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1,0</w:t>
            </w:r>
          </w:p>
        </w:tc>
        <w:tc>
          <w:tcPr>
            <w:tcW w:w="1417" w:type="dxa"/>
            <w:tcBorders>
              <w:bottom w:val="single" w:sz="4" w:space="0" w:color="auto"/>
            </w:tcBorders>
            <w:vAlign w:val="center"/>
          </w:tcPr>
          <w:p w:rsidR="00D87FFE" w:rsidRPr="00753485" w:rsidRDefault="00D87FFE" w:rsidP="006758D4">
            <w:pPr>
              <w:jc w:val="center"/>
              <w:rPr>
                <w:rFonts w:eastAsia="Times New Roman"/>
                <w:lang w:eastAsia="ru-RU"/>
              </w:rPr>
            </w:pPr>
            <w:r w:rsidRPr="00753485">
              <w:rPr>
                <w:rFonts w:eastAsia="Times New Roman"/>
                <w:lang w:eastAsia="ru-RU"/>
              </w:rPr>
              <w:t>1,0</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after="120"/>
              <w:jc w:val="center"/>
              <w:rPr>
                <w:rFonts w:eastAsia="Times New Roman"/>
                <w:b/>
                <w:color w:val="333333"/>
                <w:lang w:eastAsia="ru-RU"/>
              </w:rPr>
            </w:pPr>
            <w:r w:rsidRPr="006A08FD">
              <w:rPr>
                <w:rFonts w:eastAsia="Times New Roman"/>
                <w:b/>
                <w:color w:val="333333"/>
                <w:lang w:eastAsia="ru-RU"/>
              </w:rPr>
              <w:t>VIII. Организация муниципального управления</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spacing w:before="120" w:after="120"/>
              <w:jc w:val="center"/>
              <w:rPr>
                <w:rFonts w:eastAsia="Times New Roman"/>
                <w:b/>
                <w:lang w:eastAsia="ru-RU"/>
              </w:rPr>
            </w:pPr>
          </w:p>
        </w:tc>
        <w:tc>
          <w:tcPr>
            <w:tcW w:w="1417" w:type="dxa"/>
            <w:tcBorders>
              <w:left w:val="nil"/>
              <w:right w:val="nil"/>
            </w:tcBorders>
            <w:vAlign w:val="center"/>
          </w:tcPr>
          <w:p w:rsidR="00D87FFE" w:rsidRPr="006A08FD" w:rsidRDefault="00D87FFE" w:rsidP="006758D4">
            <w:pPr>
              <w:spacing w:before="120" w:after="120"/>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spacing w:before="120" w:after="120"/>
              <w:jc w:val="left"/>
              <w:rPr>
                <w:rFonts w:eastAsia="Times New Roman"/>
                <w:b/>
                <w:lang w:eastAsia="ru-RU"/>
              </w:rPr>
            </w:pPr>
            <w:r w:rsidRPr="006A08FD">
              <w:rPr>
                <w:rFonts w:eastAsia="Times New Roman"/>
                <w:b/>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31.</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80,7</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83,21</w:t>
            </w:r>
          </w:p>
        </w:tc>
        <w:tc>
          <w:tcPr>
            <w:tcW w:w="1276" w:type="dxa"/>
            <w:shd w:val="clear" w:color="auto" w:fill="auto"/>
            <w:noWrap/>
            <w:vAlign w:val="center"/>
            <w:hideMark/>
          </w:tcPr>
          <w:p w:rsidR="00D87FFE" w:rsidRPr="00B61CE2" w:rsidRDefault="00D87FFE" w:rsidP="006758D4">
            <w:pPr>
              <w:jc w:val="center"/>
            </w:pPr>
            <w:r w:rsidRPr="00B61CE2">
              <w:t>82,04</w:t>
            </w:r>
          </w:p>
        </w:tc>
        <w:tc>
          <w:tcPr>
            <w:tcW w:w="1276" w:type="dxa"/>
            <w:shd w:val="clear" w:color="auto" w:fill="auto"/>
            <w:noWrap/>
            <w:vAlign w:val="center"/>
            <w:hideMark/>
          </w:tcPr>
          <w:p w:rsidR="00D87FFE" w:rsidRPr="00B61CE2" w:rsidRDefault="00D87FFE" w:rsidP="006758D4">
            <w:pPr>
              <w:jc w:val="center"/>
            </w:pPr>
            <w:r w:rsidRPr="00B61CE2">
              <w:t>88,23</w:t>
            </w:r>
          </w:p>
        </w:tc>
        <w:tc>
          <w:tcPr>
            <w:tcW w:w="1276" w:type="dxa"/>
            <w:shd w:val="clear" w:color="auto" w:fill="auto"/>
            <w:noWrap/>
            <w:vAlign w:val="center"/>
            <w:hideMark/>
          </w:tcPr>
          <w:p w:rsidR="00D87FFE" w:rsidRPr="00B61CE2" w:rsidRDefault="00D87FFE" w:rsidP="006758D4">
            <w:pPr>
              <w:jc w:val="center"/>
            </w:pPr>
            <w:r w:rsidRPr="00B61CE2">
              <w:t>94,77</w:t>
            </w:r>
          </w:p>
        </w:tc>
        <w:tc>
          <w:tcPr>
            <w:tcW w:w="1417" w:type="dxa"/>
            <w:vAlign w:val="center"/>
          </w:tcPr>
          <w:p w:rsidR="00D87FFE" w:rsidRPr="00B61CE2" w:rsidRDefault="00D87FFE" w:rsidP="006758D4">
            <w:pPr>
              <w:jc w:val="center"/>
            </w:pPr>
            <w:r w:rsidRPr="00B61CE2">
              <w:t>94,85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32.</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33.</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тыс. 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10049,4</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84410,9</w:t>
            </w:r>
          </w:p>
        </w:tc>
        <w:tc>
          <w:tcPr>
            <w:tcW w:w="1276" w:type="dxa"/>
            <w:shd w:val="clear" w:color="auto" w:fill="auto"/>
            <w:noWrap/>
            <w:vAlign w:val="center"/>
            <w:hideMark/>
          </w:tcPr>
          <w:p w:rsidR="00D87FFE" w:rsidRDefault="00D87FFE" w:rsidP="006758D4">
            <w:pPr>
              <w:jc w:val="center"/>
            </w:pPr>
            <w:r>
              <w:t>42070,63</w:t>
            </w:r>
          </w:p>
        </w:tc>
        <w:tc>
          <w:tcPr>
            <w:tcW w:w="1276" w:type="dxa"/>
            <w:shd w:val="clear" w:color="auto" w:fill="auto"/>
            <w:noWrap/>
            <w:vAlign w:val="center"/>
            <w:hideMark/>
          </w:tcPr>
          <w:p w:rsidR="00D87FFE" w:rsidRDefault="00D87FFE" w:rsidP="006758D4">
            <w:pPr>
              <w:jc w:val="center"/>
            </w:pPr>
            <w:r>
              <w:t>51068,84</w:t>
            </w:r>
          </w:p>
        </w:tc>
        <w:tc>
          <w:tcPr>
            <w:tcW w:w="1276" w:type="dxa"/>
            <w:shd w:val="clear" w:color="auto" w:fill="auto"/>
            <w:noWrap/>
            <w:vAlign w:val="center"/>
            <w:hideMark/>
          </w:tcPr>
          <w:p w:rsidR="00D87FFE" w:rsidRDefault="00D87FFE" w:rsidP="006758D4">
            <w:pPr>
              <w:jc w:val="center"/>
            </w:pPr>
            <w:r>
              <w:t>36000</w:t>
            </w:r>
          </w:p>
        </w:tc>
        <w:tc>
          <w:tcPr>
            <w:tcW w:w="1417" w:type="dxa"/>
            <w:vAlign w:val="center"/>
          </w:tcPr>
          <w:p w:rsidR="00D87FFE" w:rsidRDefault="00D87FFE" w:rsidP="006758D4">
            <w:pPr>
              <w:jc w:val="center"/>
            </w:pPr>
            <w:r>
              <w:t>36000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34.</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w:t>
            </w:r>
            <w:r w:rsidRPr="00753485">
              <w:rPr>
                <w:rFonts w:eastAsia="Times New Roman"/>
                <w:color w:val="333333"/>
                <w:lang w:eastAsia="ru-RU"/>
              </w:rPr>
              <w:lastRenderedPageBreak/>
              <w:t>на оплату труда (включая начисления на оплату труда)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процентов</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0</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lastRenderedPageBreak/>
              <w:t>35.</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рублей</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w:t>
            </w:r>
            <w:r w:rsidRPr="00753485">
              <w:rPr>
                <w:rFonts w:eastAsia="Times New Roman"/>
                <w:lang w:eastAsia="ru-RU"/>
              </w:rPr>
              <w:t>966</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w:t>
            </w:r>
            <w:r w:rsidRPr="00753485">
              <w:rPr>
                <w:rFonts w:eastAsia="Times New Roman"/>
                <w:lang w:eastAsia="ru-RU"/>
              </w:rPr>
              <w:t>937,55</w:t>
            </w:r>
          </w:p>
        </w:tc>
        <w:tc>
          <w:tcPr>
            <w:tcW w:w="1276" w:type="dxa"/>
            <w:shd w:val="clear" w:color="auto" w:fill="auto"/>
            <w:noWrap/>
            <w:vAlign w:val="center"/>
            <w:hideMark/>
          </w:tcPr>
          <w:p w:rsidR="00D87FFE" w:rsidRPr="009949C9" w:rsidRDefault="00D87FFE" w:rsidP="006758D4">
            <w:pPr>
              <w:jc w:val="center"/>
            </w:pPr>
            <w:r>
              <w:t>2</w:t>
            </w:r>
            <w:r w:rsidRPr="009949C9">
              <w:t>063,58</w:t>
            </w:r>
          </w:p>
        </w:tc>
        <w:tc>
          <w:tcPr>
            <w:tcW w:w="1276" w:type="dxa"/>
            <w:shd w:val="clear" w:color="auto" w:fill="auto"/>
            <w:noWrap/>
            <w:vAlign w:val="center"/>
            <w:hideMark/>
          </w:tcPr>
          <w:p w:rsidR="00D87FFE" w:rsidRPr="009949C9" w:rsidRDefault="00D87FFE" w:rsidP="006758D4">
            <w:pPr>
              <w:jc w:val="center"/>
            </w:pPr>
            <w:r>
              <w:t>2</w:t>
            </w:r>
            <w:r w:rsidRPr="009949C9">
              <w:t>171,17</w:t>
            </w:r>
          </w:p>
        </w:tc>
        <w:tc>
          <w:tcPr>
            <w:tcW w:w="1276" w:type="dxa"/>
            <w:shd w:val="clear" w:color="auto" w:fill="auto"/>
            <w:noWrap/>
            <w:vAlign w:val="center"/>
            <w:hideMark/>
          </w:tcPr>
          <w:p w:rsidR="00D87FFE" w:rsidRPr="009949C9" w:rsidRDefault="00D87FFE" w:rsidP="006758D4">
            <w:pPr>
              <w:jc w:val="center"/>
            </w:pPr>
            <w:r>
              <w:t>2</w:t>
            </w:r>
            <w:r w:rsidRPr="009949C9">
              <w:t>147,68</w:t>
            </w:r>
          </w:p>
        </w:tc>
        <w:tc>
          <w:tcPr>
            <w:tcW w:w="1417" w:type="dxa"/>
            <w:vAlign w:val="center"/>
          </w:tcPr>
          <w:p w:rsidR="00D87FFE" w:rsidRPr="009949C9" w:rsidRDefault="00D87FFE" w:rsidP="006758D4">
            <w:pPr>
              <w:jc w:val="center"/>
            </w:pPr>
            <w:r>
              <w:t>2</w:t>
            </w:r>
            <w:r w:rsidRPr="009949C9">
              <w:t>222,25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36.</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1</w:t>
            </w:r>
            <w:proofErr w:type="gramStart"/>
            <w:r w:rsidRPr="00753485">
              <w:rPr>
                <w:rFonts w:eastAsia="Times New Roman"/>
                <w:color w:val="333333"/>
                <w:lang w:eastAsia="ru-RU"/>
              </w:rPr>
              <w:t>=Д</w:t>
            </w:r>
            <w:proofErr w:type="gramEnd"/>
            <w:r w:rsidRPr="00753485">
              <w:rPr>
                <w:rFonts w:eastAsia="Times New Roman"/>
                <w:color w:val="333333"/>
                <w:lang w:eastAsia="ru-RU"/>
              </w:rPr>
              <w:t>а / 0=Нет</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1417" w:type="dxa"/>
            <w:vAlign w:val="center"/>
          </w:tcPr>
          <w:p w:rsidR="00D87FFE" w:rsidRPr="00753485" w:rsidRDefault="00D87FFE" w:rsidP="006758D4">
            <w:pPr>
              <w:jc w:val="center"/>
              <w:rPr>
                <w:rFonts w:eastAsia="Times New Roman"/>
                <w:lang w:eastAsia="ru-RU"/>
              </w:rPr>
            </w:pPr>
            <w:r w:rsidRPr="00753485">
              <w:rPr>
                <w:rFonts w:eastAsia="Times New Roman"/>
                <w:lang w:eastAsia="ru-RU"/>
              </w:rPr>
              <w:t>да</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37.</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Удовлетворенность населения деятельностью органов местного самоуправления городского округа (муниципального района)</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 xml:space="preserve">процент числа </w:t>
            </w:r>
            <w:proofErr w:type="gramStart"/>
            <w:r w:rsidRPr="00753485">
              <w:rPr>
                <w:rFonts w:eastAsia="Times New Roman"/>
                <w:color w:val="333333"/>
                <w:lang w:eastAsia="ru-RU"/>
              </w:rPr>
              <w:t>опрошенных</w:t>
            </w:r>
            <w:proofErr w:type="gramEnd"/>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73</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65</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64</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64</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64</w:t>
            </w:r>
          </w:p>
        </w:tc>
        <w:tc>
          <w:tcPr>
            <w:tcW w:w="1417" w:type="dxa"/>
            <w:vAlign w:val="center"/>
          </w:tcPr>
          <w:p w:rsidR="00D87FFE" w:rsidRPr="00753485" w:rsidRDefault="00D87FFE" w:rsidP="006758D4">
            <w:pPr>
              <w:jc w:val="center"/>
              <w:rPr>
                <w:rFonts w:eastAsia="Times New Roman"/>
                <w:lang w:eastAsia="ru-RU"/>
              </w:rPr>
            </w:pPr>
            <w:r>
              <w:rPr>
                <w:rFonts w:eastAsia="Times New Roman"/>
                <w:lang w:eastAsia="ru-RU"/>
              </w:rPr>
              <w:t>64</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38.</w:t>
            </w:r>
          </w:p>
        </w:tc>
        <w:tc>
          <w:tcPr>
            <w:tcW w:w="3372" w:type="dxa"/>
            <w:tcBorders>
              <w:bottom w:val="single" w:sz="4" w:space="0" w:color="auto"/>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Среднегодовая численность постоянного населения</w:t>
            </w:r>
          </w:p>
        </w:tc>
        <w:tc>
          <w:tcPr>
            <w:tcW w:w="1559" w:type="dxa"/>
            <w:tcBorders>
              <w:bottom w:val="single" w:sz="4" w:space="0" w:color="auto"/>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тыс. человек</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67,8</w:t>
            </w:r>
          </w:p>
        </w:tc>
        <w:tc>
          <w:tcPr>
            <w:tcW w:w="1275"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68,0</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68,2</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68,4</w:t>
            </w:r>
          </w:p>
        </w:tc>
        <w:tc>
          <w:tcPr>
            <w:tcW w:w="1276" w:type="dxa"/>
            <w:tcBorders>
              <w:bottom w:val="single" w:sz="4" w:space="0" w:color="auto"/>
            </w:tcBorders>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68,6</w:t>
            </w:r>
          </w:p>
        </w:tc>
        <w:tc>
          <w:tcPr>
            <w:tcW w:w="1417" w:type="dxa"/>
            <w:tcBorders>
              <w:bottom w:val="single" w:sz="4" w:space="0" w:color="auto"/>
            </w:tcBorders>
            <w:vAlign w:val="center"/>
          </w:tcPr>
          <w:p w:rsidR="00D87FFE" w:rsidRPr="00753485" w:rsidRDefault="00D87FFE" w:rsidP="006758D4">
            <w:pPr>
              <w:jc w:val="center"/>
              <w:rPr>
                <w:rFonts w:eastAsia="Times New Roman"/>
                <w:lang w:eastAsia="ru-RU"/>
              </w:rPr>
            </w:pPr>
            <w:r w:rsidRPr="00753485">
              <w:rPr>
                <w:rFonts w:eastAsia="Times New Roman"/>
                <w:lang w:eastAsia="ru-RU"/>
              </w:rPr>
              <w:t>68,8</w:t>
            </w:r>
          </w:p>
        </w:tc>
        <w:tc>
          <w:tcPr>
            <w:tcW w:w="2410" w:type="dxa"/>
            <w:tcBorders>
              <w:bottom w:val="single" w:sz="4" w:space="0" w:color="auto"/>
            </w:tcBorders>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6A08FD" w:rsidTr="006758D4">
        <w:tc>
          <w:tcPr>
            <w:tcW w:w="5444" w:type="dxa"/>
            <w:gridSpan w:val="3"/>
            <w:tcBorders>
              <w:right w:val="nil"/>
            </w:tcBorders>
            <w:shd w:val="clear" w:color="auto" w:fill="auto"/>
            <w:vAlign w:val="center"/>
            <w:hideMark/>
          </w:tcPr>
          <w:p w:rsidR="00D87FFE" w:rsidRPr="006A08FD" w:rsidRDefault="00D87FFE" w:rsidP="006758D4">
            <w:pPr>
              <w:spacing w:before="120"/>
              <w:jc w:val="center"/>
              <w:rPr>
                <w:rFonts w:eastAsia="Times New Roman"/>
                <w:b/>
                <w:color w:val="333333"/>
                <w:lang w:eastAsia="ru-RU"/>
              </w:rPr>
            </w:pPr>
            <w:r w:rsidRPr="006A08FD">
              <w:rPr>
                <w:rFonts w:eastAsia="Times New Roman"/>
                <w:b/>
                <w:color w:val="333333"/>
                <w:lang w:eastAsia="ru-RU"/>
              </w:rPr>
              <w:t>IX. Энергосбережение и повышение</w:t>
            </w:r>
          </w:p>
          <w:p w:rsidR="00D87FFE" w:rsidRPr="006A08FD" w:rsidRDefault="00D87FFE" w:rsidP="006758D4">
            <w:pPr>
              <w:spacing w:after="120"/>
              <w:jc w:val="center"/>
              <w:rPr>
                <w:rFonts w:eastAsia="Times New Roman"/>
                <w:b/>
                <w:color w:val="333333"/>
                <w:lang w:eastAsia="ru-RU"/>
              </w:rPr>
            </w:pPr>
            <w:r w:rsidRPr="006A08FD">
              <w:rPr>
                <w:rFonts w:eastAsia="Times New Roman"/>
                <w:b/>
                <w:color w:val="333333"/>
                <w:lang w:eastAsia="ru-RU"/>
              </w:rPr>
              <w:t xml:space="preserve"> энергетической эффективности</w:t>
            </w:r>
          </w:p>
        </w:tc>
        <w:tc>
          <w:tcPr>
            <w:tcW w:w="1276" w:type="dxa"/>
            <w:tcBorders>
              <w:left w:val="nil"/>
              <w:right w:val="nil"/>
            </w:tcBorders>
            <w:shd w:val="clear" w:color="auto" w:fill="auto"/>
            <w:noWrap/>
            <w:vAlign w:val="center"/>
            <w:hideMark/>
          </w:tcPr>
          <w:p w:rsidR="00D87FFE" w:rsidRPr="006A08FD" w:rsidRDefault="00D87FFE" w:rsidP="006758D4">
            <w:pPr>
              <w:jc w:val="center"/>
              <w:rPr>
                <w:rFonts w:eastAsia="Times New Roman"/>
                <w:b/>
                <w:lang w:eastAsia="ru-RU"/>
              </w:rPr>
            </w:pPr>
            <w:r w:rsidRPr="006A08FD">
              <w:rPr>
                <w:rFonts w:eastAsia="Times New Roman"/>
                <w:b/>
                <w:lang w:eastAsia="ru-RU"/>
              </w:rPr>
              <w:t> </w:t>
            </w:r>
          </w:p>
        </w:tc>
        <w:tc>
          <w:tcPr>
            <w:tcW w:w="1275" w:type="dxa"/>
            <w:tcBorders>
              <w:left w:val="nil"/>
              <w:right w:val="nil"/>
            </w:tcBorders>
            <w:shd w:val="clear" w:color="auto" w:fill="auto"/>
            <w:noWrap/>
            <w:vAlign w:val="center"/>
            <w:hideMark/>
          </w:tcPr>
          <w:p w:rsidR="00D87FFE" w:rsidRPr="006A08FD" w:rsidRDefault="00D87FFE" w:rsidP="006758D4">
            <w:pPr>
              <w:jc w:val="center"/>
              <w:rPr>
                <w:rFonts w:eastAsia="Times New Roman"/>
                <w:b/>
                <w:lang w:eastAsia="ru-RU"/>
              </w:rPr>
            </w:pPr>
            <w:r w:rsidRPr="006A08FD">
              <w:rPr>
                <w:rFonts w:eastAsia="Times New Roman"/>
                <w:b/>
                <w:lang w:eastAsia="ru-RU"/>
              </w:rPr>
              <w:t> </w:t>
            </w:r>
          </w:p>
        </w:tc>
        <w:tc>
          <w:tcPr>
            <w:tcW w:w="1276" w:type="dxa"/>
            <w:tcBorders>
              <w:left w:val="nil"/>
              <w:right w:val="nil"/>
            </w:tcBorders>
            <w:shd w:val="clear" w:color="auto" w:fill="auto"/>
            <w:noWrap/>
            <w:vAlign w:val="center"/>
            <w:hideMark/>
          </w:tcPr>
          <w:p w:rsidR="00D87FFE" w:rsidRPr="006A08FD" w:rsidRDefault="00D87FFE" w:rsidP="006758D4">
            <w:pPr>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jc w:val="center"/>
              <w:rPr>
                <w:rFonts w:eastAsia="Times New Roman"/>
                <w:b/>
                <w:lang w:eastAsia="ru-RU"/>
              </w:rPr>
            </w:pPr>
          </w:p>
        </w:tc>
        <w:tc>
          <w:tcPr>
            <w:tcW w:w="1276" w:type="dxa"/>
            <w:tcBorders>
              <w:left w:val="nil"/>
              <w:right w:val="nil"/>
            </w:tcBorders>
            <w:shd w:val="clear" w:color="auto" w:fill="auto"/>
            <w:noWrap/>
            <w:vAlign w:val="center"/>
            <w:hideMark/>
          </w:tcPr>
          <w:p w:rsidR="00D87FFE" w:rsidRPr="006A08FD" w:rsidRDefault="00D87FFE" w:rsidP="006758D4">
            <w:pPr>
              <w:jc w:val="center"/>
              <w:rPr>
                <w:rFonts w:eastAsia="Times New Roman"/>
                <w:b/>
                <w:lang w:eastAsia="ru-RU"/>
              </w:rPr>
            </w:pPr>
          </w:p>
        </w:tc>
        <w:tc>
          <w:tcPr>
            <w:tcW w:w="1417" w:type="dxa"/>
            <w:tcBorders>
              <w:left w:val="nil"/>
              <w:right w:val="nil"/>
            </w:tcBorders>
            <w:vAlign w:val="center"/>
          </w:tcPr>
          <w:p w:rsidR="00D87FFE" w:rsidRPr="006A08FD" w:rsidRDefault="00D87FFE" w:rsidP="006758D4">
            <w:pPr>
              <w:jc w:val="center"/>
              <w:rPr>
                <w:rFonts w:eastAsia="Times New Roman"/>
                <w:b/>
                <w:lang w:eastAsia="ru-RU"/>
              </w:rPr>
            </w:pPr>
          </w:p>
        </w:tc>
        <w:tc>
          <w:tcPr>
            <w:tcW w:w="2410" w:type="dxa"/>
            <w:tcBorders>
              <w:left w:val="nil"/>
            </w:tcBorders>
            <w:shd w:val="clear" w:color="auto" w:fill="auto"/>
            <w:vAlign w:val="center"/>
            <w:hideMark/>
          </w:tcPr>
          <w:p w:rsidR="00D87FFE" w:rsidRPr="006A08FD" w:rsidRDefault="00D87FFE" w:rsidP="006758D4">
            <w:pPr>
              <w:jc w:val="left"/>
              <w:rPr>
                <w:rFonts w:eastAsia="Times New Roman"/>
                <w:b/>
                <w:lang w:eastAsia="ru-RU"/>
              </w:rPr>
            </w:pPr>
            <w:r w:rsidRPr="006A08FD">
              <w:rPr>
                <w:rFonts w:eastAsia="Times New Roman"/>
                <w:b/>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39.</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xml:space="preserve">Удельная величина </w:t>
            </w:r>
            <w:proofErr w:type="spellStart"/>
            <w:proofErr w:type="gramStart"/>
            <w:r w:rsidRPr="00753485">
              <w:rPr>
                <w:rFonts w:eastAsia="Times New Roman"/>
                <w:color w:val="333333"/>
                <w:lang w:eastAsia="ru-RU"/>
              </w:rPr>
              <w:t>потреб</w:t>
            </w:r>
            <w:r>
              <w:rPr>
                <w:rFonts w:eastAsia="Times New Roman"/>
                <w:color w:val="333333"/>
                <w:lang w:eastAsia="ru-RU"/>
              </w:rPr>
              <w:t>-</w:t>
            </w:r>
            <w:r w:rsidRPr="00753485">
              <w:rPr>
                <w:rFonts w:eastAsia="Times New Roman"/>
                <w:color w:val="333333"/>
                <w:lang w:eastAsia="ru-RU"/>
              </w:rPr>
              <w:t>ления</w:t>
            </w:r>
            <w:proofErr w:type="spellEnd"/>
            <w:proofErr w:type="gramEnd"/>
            <w:r w:rsidRPr="00753485">
              <w:rPr>
                <w:rFonts w:eastAsia="Times New Roman"/>
                <w:color w:val="333333"/>
                <w:lang w:eastAsia="ru-RU"/>
              </w:rPr>
              <w:t xml:space="preserve"> энергетических ресурсов в многоквартирных домах:</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417" w:type="dxa"/>
            <w:vAlign w:val="center"/>
          </w:tcPr>
          <w:p w:rsidR="00D87FFE" w:rsidRPr="00753485" w:rsidRDefault="00D87FFE" w:rsidP="006758D4">
            <w:pPr>
              <w:jc w:val="center"/>
              <w:rPr>
                <w:rFonts w:eastAsia="Times New Roman"/>
                <w:lang w:eastAsia="ru-RU"/>
              </w:rPr>
            </w:pP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электрическая энергия</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кВт</w:t>
            </w:r>
            <w:proofErr w:type="gramStart"/>
            <w:r w:rsidRPr="00753485">
              <w:rPr>
                <w:rFonts w:eastAsia="Times New Roman"/>
                <w:color w:val="333333"/>
                <w:lang w:eastAsia="ru-RU"/>
              </w:rPr>
              <w:t>.</w:t>
            </w:r>
            <w:proofErr w:type="gramEnd"/>
            <w:r w:rsidRPr="00753485">
              <w:rPr>
                <w:rFonts w:eastAsia="Times New Roman"/>
                <w:color w:val="333333"/>
                <w:lang w:eastAsia="ru-RU"/>
              </w:rPr>
              <w:t xml:space="preserve"> </w:t>
            </w:r>
            <w:proofErr w:type="gramStart"/>
            <w:r w:rsidRPr="00753485">
              <w:rPr>
                <w:rFonts w:eastAsia="Times New Roman"/>
                <w:color w:val="333333"/>
                <w:lang w:eastAsia="ru-RU"/>
              </w:rPr>
              <w:t>ч</w:t>
            </w:r>
            <w:proofErr w:type="gramEnd"/>
            <w:r w:rsidRPr="00753485">
              <w:rPr>
                <w:rFonts w:eastAsia="Times New Roman"/>
                <w:color w:val="333333"/>
                <w:lang w:eastAsia="ru-RU"/>
              </w:rPr>
              <w:t xml:space="preserve"> на 1 проживающего</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1</w:t>
            </w:r>
            <w:r w:rsidRPr="00753485">
              <w:rPr>
                <w:rFonts w:eastAsia="Times New Roman"/>
                <w:lang w:eastAsia="ru-RU"/>
              </w:rPr>
              <w:t>176,04</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726,03</w:t>
            </w:r>
          </w:p>
        </w:tc>
        <w:tc>
          <w:tcPr>
            <w:tcW w:w="1276" w:type="dxa"/>
            <w:shd w:val="clear" w:color="auto" w:fill="auto"/>
            <w:noWrap/>
            <w:vAlign w:val="center"/>
            <w:hideMark/>
          </w:tcPr>
          <w:p w:rsidR="00D87FFE" w:rsidRDefault="00D87FFE" w:rsidP="006758D4">
            <w:pPr>
              <w:jc w:val="center"/>
            </w:pPr>
            <w:r>
              <w:t>715,05</w:t>
            </w:r>
          </w:p>
        </w:tc>
        <w:tc>
          <w:tcPr>
            <w:tcW w:w="1276" w:type="dxa"/>
            <w:shd w:val="clear" w:color="auto" w:fill="auto"/>
            <w:noWrap/>
            <w:vAlign w:val="center"/>
            <w:hideMark/>
          </w:tcPr>
          <w:p w:rsidR="00D87FFE" w:rsidRDefault="00D87FFE" w:rsidP="006758D4">
            <w:pPr>
              <w:jc w:val="center"/>
            </w:pPr>
            <w:r>
              <w:t>715,05</w:t>
            </w:r>
          </w:p>
        </w:tc>
        <w:tc>
          <w:tcPr>
            <w:tcW w:w="1276" w:type="dxa"/>
            <w:shd w:val="clear" w:color="auto" w:fill="auto"/>
            <w:noWrap/>
            <w:vAlign w:val="center"/>
            <w:hideMark/>
          </w:tcPr>
          <w:p w:rsidR="00D87FFE" w:rsidRDefault="00D87FFE" w:rsidP="006758D4">
            <w:pPr>
              <w:jc w:val="center"/>
            </w:pPr>
            <w:r>
              <w:t>715,05</w:t>
            </w:r>
          </w:p>
        </w:tc>
        <w:tc>
          <w:tcPr>
            <w:tcW w:w="1417" w:type="dxa"/>
            <w:vAlign w:val="center"/>
          </w:tcPr>
          <w:p w:rsidR="00D87FFE" w:rsidRDefault="00D87FFE" w:rsidP="006758D4">
            <w:pPr>
              <w:jc w:val="center"/>
            </w:pPr>
            <w:r>
              <w:t>715,05</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A969BC"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lastRenderedPageBreak/>
              <w:t> </w:t>
            </w:r>
          </w:p>
        </w:tc>
        <w:tc>
          <w:tcPr>
            <w:tcW w:w="3372" w:type="dxa"/>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тепловая энергия</w:t>
            </w:r>
          </w:p>
        </w:tc>
        <w:tc>
          <w:tcPr>
            <w:tcW w:w="1559" w:type="dxa"/>
            <w:shd w:val="clear" w:color="auto" w:fill="auto"/>
            <w:vAlign w:val="center"/>
            <w:hideMark/>
          </w:tcPr>
          <w:p w:rsidR="00D87FFE" w:rsidRPr="00A969BC" w:rsidRDefault="00D87FFE" w:rsidP="006758D4">
            <w:pPr>
              <w:jc w:val="center"/>
              <w:rPr>
                <w:rFonts w:eastAsia="Times New Roman"/>
                <w:color w:val="333333"/>
                <w:lang w:eastAsia="ru-RU"/>
              </w:rPr>
            </w:pPr>
            <w:r w:rsidRPr="00A969BC">
              <w:rPr>
                <w:rFonts w:eastAsia="Times New Roman"/>
                <w:color w:val="333333"/>
                <w:lang w:eastAsia="ru-RU"/>
              </w:rPr>
              <w:t>Гкал на 1 кв. метр общей площади</w:t>
            </w:r>
          </w:p>
        </w:tc>
        <w:tc>
          <w:tcPr>
            <w:tcW w:w="1276"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0,19</w:t>
            </w:r>
          </w:p>
        </w:tc>
        <w:tc>
          <w:tcPr>
            <w:tcW w:w="1275"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0,14</w:t>
            </w:r>
          </w:p>
        </w:tc>
        <w:tc>
          <w:tcPr>
            <w:tcW w:w="1276" w:type="dxa"/>
            <w:shd w:val="clear" w:color="auto" w:fill="auto"/>
            <w:noWrap/>
            <w:vAlign w:val="center"/>
            <w:hideMark/>
          </w:tcPr>
          <w:p w:rsidR="00D87FFE" w:rsidRDefault="00D87FFE" w:rsidP="006758D4">
            <w:pPr>
              <w:jc w:val="center"/>
            </w:pPr>
            <w:r>
              <w:t>0,2</w:t>
            </w:r>
          </w:p>
        </w:tc>
        <w:tc>
          <w:tcPr>
            <w:tcW w:w="1276" w:type="dxa"/>
            <w:shd w:val="clear" w:color="auto" w:fill="auto"/>
            <w:noWrap/>
            <w:vAlign w:val="center"/>
            <w:hideMark/>
          </w:tcPr>
          <w:p w:rsidR="00D87FFE" w:rsidRDefault="00D87FFE" w:rsidP="006758D4">
            <w:pPr>
              <w:jc w:val="center"/>
            </w:pPr>
            <w:r>
              <w:t>0,2</w:t>
            </w:r>
          </w:p>
        </w:tc>
        <w:tc>
          <w:tcPr>
            <w:tcW w:w="1276" w:type="dxa"/>
            <w:shd w:val="clear" w:color="auto" w:fill="auto"/>
            <w:noWrap/>
            <w:vAlign w:val="center"/>
            <w:hideMark/>
          </w:tcPr>
          <w:p w:rsidR="00D87FFE" w:rsidRDefault="00D87FFE" w:rsidP="006758D4">
            <w:pPr>
              <w:jc w:val="center"/>
            </w:pPr>
            <w:r>
              <w:t>0,2</w:t>
            </w:r>
          </w:p>
        </w:tc>
        <w:tc>
          <w:tcPr>
            <w:tcW w:w="1417" w:type="dxa"/>
            <w:vAlign w:val="center"/>
          </w:tcPr>
          <w:p w:rsidR="00D87FFE" w:rsidRDefault="00D87FFE" w:rsidP="006758D4">
            <w:pPr>
              <w:jc w:val="center"/>
            </w:pPr>
            <w:r>
              <w:t>0,2</w:t>
            </w:r>
          </w:p>
        </w:tc>
        <w:tc>
          <w:tcPr>
            <w:tcW w:w="2410" w:type="dxa"/>
            <w:shd w:val="clear" w:color="auto" w:fill="auto"/>
            <w:vAlign w:val="center"/>
            <w:hideMark/>
          </w:tcPr>
          <w:p w:rsidR="00D87FFE" w:rsidRPr="00A969BC" w:rsidRDefault="00D87FFE" w:rsidP="006758D4">
            <w:pPr>
              <w:jc w:val="left"/>
              <w:rPr>
                <w:rFonts w:eastAsia="Times New Roman"/>
                <w:lang w:eastAsia="ru-RU"/>
              </w:rPr>
            </w:pPr>
            <w:r w:rsidRPr="00A969BC">
              <w:rPr>
                <w:rFonts w:eastAsia="Times New Roman"/>
                <w:lang w:eastAsia="ru-RU"/>
              </w:rPr>
              <w:t> </w:t>
            </w:r>
          </w:p>
        </w:tc>
      </w:tr>
      <w:tr w:rsidR="00D87FFE" w:rsidRPr="00A969BC" w:rsidTr="006758D4">
        <w:tc>
          <w:tcPr>
            <w:tcW w:w="513" w:type="dxa"/>
            <w:tcBorders>
              <w:top w:val="nil"/>
              <w:bottom w:val="nil"/>
            </w:tcBorders>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 </w:t>
            </w:r>
          </w:p>
        </w:tc>
        <w:tc>
          <w:tcPr>
            <w:tcW w:w="3372" w:type="dxa"/>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горячая вода</w:t>
            </w:r>
          </w:p>
        </w:tc>
        <w:tc>
          <w:tcPr>
            <w:tcW w:w="1559" w:type="dxa"/>
            <w:shd w:val="clear" w:color="auto" w:fill="auto"/>
            <w:vAlign w:val="center"/>
            <w:hideMark/>
          </w:tcPr>
          <w:p w:rsidR="00D87FFE" w:rsidRPr="00A969BC" w:rsidRDefault="00D87FFE" w:rsidP="006758D4">
            <w:pPr>
              <w:jc w:val="center"/>
              <w:rPr>
                <w:rFonts w:eastAsia="Times New Roman"/>
                <w:color w:val="333333"/>
                <w:lang w:eastAsia="ru-RU"/>
              </w:rPr>
            </w:pPr>
            <w:r w:rsidRPr="00A969BC">
              <w:rPr>
                <w:rFonts w:eastAsia="Times New Roman"/>
                <w:color w:val="333333"/>
                <w:lang w:eastAsia="ru-RU"/>
              </w:rPr>
              <w:t xml:space="preserve">куб. метров на 1 </w:t>
            </w:r>
            <w:proofErr w:type="spellStart"/>
            <w:proofErr w:type="gramStart"/>
            <w:r w:rsidRPr="00A969BC">
              <w:rPr>
                <w:rFonts w:eastAsia="Times New Roman"/>
                <w:color w:val="333333"/>
                <w:lang w:eastAsia="ru-RU"/>
              </w:rPr>
              <w:t>про-живающего</w:t>
            </w:r>
            <w:proofErr w:type="spellEnd"/>
            <w:proofErr w:type="gramEnd"/>
          </w:p>
        </w:tc>
        <w:tc>
          <w:tcPr>
            <w:tcW w:w="1276"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27,05</w:t>
            </w:r>
          </w:p>
        </w:tc>
        <w:tc>
          <w:tcPr>
            <w:tcW w:w="1275"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27,10</w:t>
            </w:r>
          </w:p>
        </w:tc>
        <w:tc>
          <w:tcPr>
            <w:tcW w:w="1276" w:type="dxa"/>
            <w:shd w:val="clear" w:color="auto" w:fill="auto"/>
            <w:noWrap/>
            <w:vAlign w:val="center"/>
            <w:hideMark/>
          </w:tcPr>
          <w:p w:rsidR="00D87FFE" w:rsidRDefault="00D87FFE" w:rsidP="006758D4">
            <w:pPr>
              <w:jc w:val="center"/>
            </w:pPr>
            <w:r>
              <w:t>26,38</w:t>
            </w:r>
          </w:p>
        </w:tc>
        <w:tc>
          <w:tcPr>
            <w:tcW w:w="1276" w:type="dxa"/>
            <w:shd w:val="clear" w:color="auto" w:fill="auto"/>
            <w:noWrap/>
            <w:vAlign w:val="center"/>
            <w:hideMark/>
          </w:tcPr>
          <w:p w:rsidR="00D87FFE" w:rsidRDefault="00D87FFE" w:rsidP="006758D4">
            <w:pPr>
              <w:jc w:val="center"/>
            </w:pPr>
            <w:r>
              <w:t>26,38</w:t>
            </w:r>
          </w:p>
        </w:tc>
        <w:tc>
          <w:tcPr>
            <w:tcW w:w="1276" w:type="dxa"/>
            <w:shd w:val="clear" w:color="auto" w:fill="auto"/>
            <w:noWrap/>
            <w:vAlign w:val="center"/>
            <w:hideMark/>
          </w:tcPr>
          <w:p w:rsidR="00D87FFE" w:rsidRDefault="00D87FFE" w:rsidP="006758D4">
            <w:pPr>
              <w:jc w:val="center"/>
            </w:pPr>
            <w:r>
              <w:t>26,38</w:t>
            </w:r>
          </w:p>
        </w:tc>
        <w:tc>
          <w:tcPr>
            <w:tcW w:w="1417" w:type="dxa"/>
            <w:vAlign w:val="center"/>
          </w:tcPr>
          <w:p w:rsidR="00D87FFE" w:rsidRDefault="00D87FFE" w:rsidP="006758D4">
            <w:pPr>
              <w:jc w:val="center"/>
            </w:pPr>
            <w:r>
              <w:t>26,38</w:t>
            </w:r>
          </w:p>
        </w:tc>
        <w:tc>
          <w:tcPr>
            <w:tcW w:w="2410" w:type="dxa"/>
            <w:shd w:val="clear" w:color="auto" w:fill="auto"/>
            <w:vAlign w:val="center"/>
            <w:hideMark/>
          </w:tcPr>
          <w:p w:rsidR="00D87FFE" w:rsidRPr="00A969BC" w:rsidRDefault="00D87FFE" w:rsidP="006758D4">
            <w:pPr>
              <w:jc w:val="left"/>
              <w:rPr>
                <w:rFonts w:eastAsia="Times New Roman"/>
                <w:lang w:eastAsia="ru-RU"/>
              </w:rPr>
            </w:pPr>
            <w:r w:rsidRPr="00A969BC">
              <w:rPr>
                <w:rFonts w:eastAsia="Times New Roman"/>
                <w:lang w:eastAsia="ru-RU"/>
              </w:rPr>
              <w:t> </w:t>
            </w:r>
          </w:p>
        </w:tc>
      </w:tr>
      <w:tr w:rsidR="00D87FFE" w:rsidRPr="00A969BC" w:rsidTr="006758D4">
        <w:tc>
          <w:tcPr>
            <w:tcW w:w="513" w:type="dxa"/>
            <w:tcBorders>
              <w:top w:val="nil"/>
              <w:bottom w:val="nil"/>
            </w:tcBorders>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 </w:t>
            </w:r>
          </w:p>
        </w:tc>
        <w:tc>
          <w:tcPr>
            <w:tcW w:w="3372" w:type="dxa"/>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холодная вода</w:t>
            </w:r>
          </w:p>
        </w:tc>
        <w:tc>
          <w:tcPr>
            <w:tcW w:w="1559" w:type="dxa"/>
            <w:shd w:val="clear" w:color="auto" w:fill="auto"/>
            <w:vAlign w:val="center"/>
            <w:hideMark/>
          </w:tcPr>
          <w:p w:rsidR="00D87FFE" w:rsidRPr="00A969BC" w:rsidRDefault="00D87FFE" w:rsidP="006758D4">
            <w:pPr>
              <w:jc w:val="center"/>
              <w:rPr>
                <w:rFonts w:eastAsia="Times New Roman"/>
                <w:color w:val="333333"/>
                <w:lang w:eastAsia="ru-RU"/>
              </w:rPr>
            </w:pPr>
            <w:r w:rsidRPr="00A969BC">
              <w:rPr>
                <w:rFonts w:eastAsia="Times New Roman"/>
                <w:color w:val="333333"/>
                <w:lang w:eastAsia="ru-RU"/>
              </w:rPr>
              <w:t xml:space="preserve">куб. метров на 1 </w:t>
            </w:r>
            <w:proofErr w:type="spellStart"/>
            <w:proofErr w:type="gramStart"/>
            <w:r w:rsidRPr="00A969BC">
              <w:rPr>
                <w:rFonts w:eastAsia="Times New Roman"/>
                <w:color w:val="333333"/>
                <w:lang w:eastAsia="ru-RU"/>
              </w:rPr>
              <w:t>про-живающего</w:t>
            </w:r>
            <w:proofErr w:type="spellEnd"/>
            <w:proofErr w:type="gramEnd"/>
          </w:p>
        </w:tc>
        <w:tc>
          <w:tcPr>
            <w:tcW w:w="1276"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33,55</w:t>
            </w:r>
          </w:p>
        </w:tc>
        <w:tc>
          <w:tcPr>
            <w:tcW w:w="1275"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34,70</w:t>
            </w:r>
          </w:p>
        </w:tc>
        <w:tc>
          <w:tcPr>
            <w:tcW w:w="1276" w:type="dxa"/>
            <w:shd w:val="clear" w:color="auto" w:fill="auto"/>
            <w:noWrap/>
            <w:vAlign w:val="center"/>
            <w:hideMark/>
          </w:tcPr>
          <w:p w:rsidR="00D87FFE" w:rsidRDefault="00D87FFE" w:rsidP="006758D4">
            <w:pPr>
              <w:jc w:val="center"/>
            </w:pPr>
            <w:r>
              <w:t>36,33</w:t>
            </w:r>
          </w:p>
        </w:tc>
        <w:tc>
          <w:tcPr>
            <w:tcW w:w="1276" w:type="dxa"/>
            <w:shd w:val="clear" w:color="auto" w:fill="auto"/>
            <w:noWrap/>
            <w:vAlign w:val="center"/>
            <w:hideMark/>
          </w:tcPr>
          <w:p w:rsidR="00D87FFE" w:rsidRDefault="00D87FFE" w:rsidP="006758D4">
            <w:pPr>
              <w:jc w:val="center"/>
            </w:pPr>
            <w:r>
              <w:t>36,33</w:t>
            </w:r>
          </w:p>
        </w:tc>
        <w:tc>
          <w:tcPr>
            <w:tcW w:w="1276" w:type="dxa"/>
            <w:shd w:val="clear" w:color="auto" w:fill="auto"/>
            <w:noWrap/>
            <w:vAlign w:val="center"/>
            <w:hideMark/>
          </w:tcPr>
          <w:p w:rsidR="00D87FFE" w:rsidRDefault="00D87FFE" w:rsidP="006758D4">
            <w:pPr>
              <w:jc w:val="center"/>
            </w:pPr>
            <w:r>
              <w:t>36,33</w:t>
            </w:r>
          </w:p>
        </w:tc>
        <w:tc>
          <w:tcPr>
            <w:tcW w:w="1417" w:type="dxa"/>
            <w:vAlign w:val="center"/>
          </w:tcPr>
          <w:p w:rsidR="00D87FFE" w:rsidRDefault="00D87FFE" w:rsidP="006758D4">
            <w:pPr>
              <w:jc w:val="center"/>
            </w:pPr>
            <w:r>
              <w:t>36,33</w:t>
            </w:r>
          </w:p>
        </w:tc>
        <w:tc>
          <w:tcPr>
            <w:tcW w:w="2410" w:type="dxa"/>
            <w:shd w:val="clear" w:color="auto" w:fill="auto"/>
            <w:vAlign w:val="center"/>
            <w:hideMark/>
          </w:tcPr>
          <w:p w:rsidR="00D87FFE" w:rsidRPr="00A969BC" w:rsidRDefault="00D87FFE" w:rsidP="006758D4">
            <w:pPr>
              <w:jc w:val="left"/>
              <w:rPr>
                <w:rFonts w:eastAsia="Times New Roman"/>
                <w:lang w:eastAsia="ru-RU"/>
              </w:rPr>
            </w:pPr>
            <w:r w:rsidRPr="00A969BC">
              <w:rPr>
                <w:rFonts w:eastAsia="Times New Roman"/>
                <w:lang w:eastAsia="ru-RU"/>
              </w:rPr>
              <w:t> </w:t>
            </w:r>
          </w:p>
        </w:tc>
      </w:tr>
      <w:tr w:rsidR="00D87FFE" w:rsidRPr="00753485" w:rsidTr="006758D4">
        <w:tc>
          <w:tcPr>
            <w:tcW w:w="513" w:type="dxa"/>
            <w:tcBorders>
              <w:top w:val="nil"/>
              <w:bottom w:val="single" w:sz="4" w:space="0" w:color="auto"/>
            </w:tcBorders>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 </w:t>
            </w:r>
          </w:p>
        </w:tc>
        <w:tc>
          <w:tcPr>
            <w:tcW w:w="3372" w:type="dxa"/>
            <w:shd w:val="clear" w:color="auto" w:fill="auto"/>
            <w:vAlign w:val="center"/>
            <w:hideMark/>
          </w:tcPr>
          <w:p w:rsidR="00D87FFE" w:rsidRPr="00A969BC" w:rsidRDefault="00D87FFE" w:rsidP="006758D4">
            <w:pPr>
              <w:jc w:val="left"/>
              <w:rPr>
                <w:rFonts w:eastAsia="Times New Roman"/>
                <w:color w:val="333333"/>
                <w:lang w:eastAsia="ru-RU"/>
              </w:rPr>
            </w:pPr>
            <w:r w:rsidRPr="00A969BC">
              <w:rPr>
                <w:rFonts w:eastAsia="Times New Roman"/>
                <w:color w:val="333333"/>
                <w:lang w:eastAsia="ru-RU"/>
              </w:rPr>
              <w:t>природный газ</w:t>
            </w:r>
          </w:p>
        </w:tc>
        <w:tc>
          <w:tcPr>
            <w:tcW w:w="1559" w:type="dxa"/>
            <w:shd w:val="clear" w:color="auto" w:fill="auto"/>
            <w:vAlign w:val="center"/>
            <w:hideMark/>
          </w:tcPr>
          <w:p w:rsidR="00D87FFE" w:rsidRPr="00A969BC" w:rsidRDefault="00D87FFE" w:rsidP="006758D4">
            <w:pPr>
              <w:jc w:val="center"/>
              <w:rPr>
                <w:rFonts w:eastAsia="Times New Roman"/>
                <w:color w:val="333333"/>
                <w:lang w:eastAsia="ru-RU"/>
              </w:rPr>
            </w:pPr>
            <w:r w:rsidRPr="00A969BC">
              <w:rPr>
                <w:rFonts w:eastAsia="Times New Roman"/>
                <w:color w:val="333333"/>
                <w:lang w:eastAsia="ru-RU"/>
              </w:rPr>
              <w:t xml:space="preserve">куб. метров на 1 </w:t>
            </w:r>
            <w:proofErr w:type="spellStart"/>
            <w:proofErr w:type="gramStart"/>
            <w:r w:rsidRPr="00A969BC">
              <w:rPr>
                <w:rFonts w:eastAsia="Times New Roman"/>
                <w:color w:val="333333"/>
                <w:lang w:eastAsia="ru-RU"/>
              </w:rPr>
              <w:t>про-живающего</w:t>
            </w:r>
            <w:proofErr w:type="spellEnd"/>
            <w:proofErr w:type="gramEnd"/>
          </w:p>
        </w:tc>
        <w:tc>
          <w:tcPr>
            <w:tcW w:w="1276" w:type="dxa"/>
            <w:shd w:val="clear" w:color="auto" w:fill="auto"/>
            <w:noWrap/>
            <w:vAlign w:val="center"/>
            <w:hideMark/>
          </w:tcPr>
          <w:p w:rsidR="00D87FFE" w:rsidRPr="00A969BC" w:rsidRDefault="00D87FFE" w:rsidP="006758D4">
            <w:pPr>
              <w:jc w:val="center"/>
              <w:rPr>
                <w:rFonts w:eastAsia="Times New Roman"/>
                <w:lang w:eastAsia="ru-RU"/>
              </w:rPr>
            </w:pPr>
            <w:r w:rsidRPr="00A969BC">
              <w:rPr>
                <w:rFonts w:eastAsia="Times New Roman"/>
                <w:lang w:eastAsia="ru-RU"/>
              </w:rPr>
              <w:t>113,49</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A969BC">
              <w:rPr>
                <w:rFonts w:eastAsia="Times New Roman"/>
                <w:lang w:eastAsia="ru-RU"/>
              </w:rPr>
              <w:t>112,50</w:t>
            </w:r>
          </w:p>
        </w:tc>
        <w:tc>
          <w:tcPr>
            <w:tcW w:w="1276" w:type="dxa"/>
            <w:shd w:val="clear" w:color="auto" w:fill="auto"/>
            <w:noWrap/>
            <w:vAlign w:val="center"/>
            <w:hideMark/>
          </w:tcPr>
          <w:p w:rsidR="00D87FFE" w:rsidRDefault="00D87FFE" w:rsidP="006758D4">
            <w:pPr>
              <w:jc w:val="center"/>
            </w:pPr>
            <w:r>
              <w:t>93,6</w:t>
            </w:r>
          </w:p>
        </w:tc>
        <w:tc>
          <w:tcPr>
            <w:tcW w:w="1276" w:type="dxa"/>
            <w:shd w:val="clear" w:color="auto" w:fill="auto"/>
            <w:noWrap/>
            <w:vAlign w:val="center"/>
            <w:hideMark/>
          </w:tcPr>
          <w:p w:rsidR="00D87FFE" w:rsidRDefault="00D87FFE" w:rsidP="006758D4">
            <w:pPr>
              <w:jc w:val="center"/>
            </w:pPr>
            <w:r>
              <w:t>93,6</w:t>
            </w:r>
          </w:p>
        </w:tc>
        <w:tc>
          <w:tcPr>
            <w:tcW w:w="1276" w:type="dxa"/>
            <w:shd w:val="clear" w:color="auto" w:fill="auto"/>
            <w:noWrap/>
            <w:vAlign w:val="center"/>
            <w:hideMark/>
          </w:tcPr>
          <w:p w:rsidR="00D87FFE" w:rsidRDefault="00D87FFE" w:rsidP="006758D4">
            <w:pPr>
              <w:jc w:val="center"/>
            </w:pPr>
            <w:r>
              <w:t>93,6</w:t>
            </w:r>
          </w:p>
        </w:tc>
        <w:tc>
          <w:tcPr>
            <w:tcW w:w="1417" w:type="dxa"/>
            <w:vAlign w:val="center"/>
          </w:tcPr>
          <w:p w:rsidR="00D87FFE" w:rsidRDefault="00D87FFE" w:rsidP="006758D4">
            <w:pPr>
              <w:jc w:val="center"/>
            </w:pPr>
            <w:r>
              <w:t>93,6</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bottom w:val="nil"/>
            </w:tcBorders>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40.</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Удельная величина потребления энергетических ресурсов муниципальными бюджетными учреждениями:</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 </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p>
        </w:tc>
        <w:tc>
          <w:tcPr>
            <w:tcW w:w="1417" w:type="dxa"/>
            <w:vAlign w:val="center"/>
          </w:tcPr>
          <w:p w:rsidR="00D87FFE" w:rsidRPr="00753485" w:rsidRDefault="00D87FFE" w:rsidP="006758D4">
            <w:pPr>
              <w:jc w:val="center"/>
              <w:rPr>
                <w:rFonts w:eastAsia="Times New Roman"/>
                <w:lang w:eastAsia="ru-RU"/>
              </w:rPr>
            </w:pP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753485"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электрическая энергия</w:t>
            </w:r>
          </w:p>
        </w:tc>
        <w:tc>
          <w:tcPr>
            <w:tcW w:w="1559" w:type="dxa"/>
            <w:shd w:val="clear" w:color="auto" w:fill="auto"/>
            <w:vAlign w:val="center"/>
            <w:hideMark/>
          </w:tcPr>
          <w:p w:rsidR="00D87FFE" w:rsidRPr="00753485" w:rsidRDefault="00D87FFE" w:rsidP="006758D4">
            <w:pPr>
              <w:jc w:val="center"/>
              <w:rPr>
                <w:rFonts w:eastAsia="Times New Roman"/>
                <w:color w:val="333333"/>
                <w:lang w:eastAsia="ru-RU"/>
              </w:rPr>
            </w:pPr>
            <w:r w:rsidRPr="00753485">
              <w:rPr>
                <w:rFonts w:eastAsia="Times New Roman"/>
                <w:color w:val="333333"/>
                <w:lang w:eastAsia="ru-RU"/>
              </w:rPr>
              <w:t>кВт</w:t>
            </w:r>
            <w:proofErr w:type="gramStart"/>
            <w:r w:rsidRPr="00753485">
              <w:rPr>
                <w:rFonts w:eastAsia="Times New Roman"/>
                <w:color w:val="333333"/>
                <w:lang w:eastAsia="ru-RU"/>
              </w:rPr>
              <w:t>.</w:t>
            </w:r>
            <w:proofErr w:type="gramEnd"/>
            <w:r w:rsidRPr="00753485">
              <w:rPr>
                <w:rFonts w:eastAsia="Times New Roman"/>
                <w:color w:val="333333"/>
                <w:lang w:eastAsia="ru-RU"/>
              </w:rPr>
              <w:t xml:space="preserve"> </w:t>
            </w:r>
            <w:proofErr w:type="gramStart"/>
            <w:r w:rsidRPr="00753485">
              <w:rPr>
                <w:rFonts w:eastAsia="Times New Roman"/>
                <w:color w:val="333333"/>
                <w:lang w:eastAsia="ru-RU"/>
              </w:rPr>
              <w:t>ч</w:t>
            </w:r>
            <w:proofErr w:type="gramEnd"/>
            <w:r w:rsidRPr="00753485">
              <w:rPr>
                <w:rFonts w:eastAsia="Times New Roman"/>
                <w:color w:val="333333"/>
                <w:lang w:eastAsia="ru-RU"/>
              </w:rPr>
              <w:t xml:space="preserve"> на 1 человека населения</w:t>
            </w:r>
          </w:p>
        </w:tc>
        <w:tc>
          <w:tcPr>
            <w:tcW w:w="1276" w:type="dxa"/>
            <w:shd w:val="clear" w:color="auto" w:fill="auto"/>
            <w:noWrap/>
            <w:vAlign w:val="center"/>
            <w:hideMark/>
          </w:tcPr>
          <w:p w:rsidR="00D87FFE" w:rsidRPr="00753485" w:rsidRDefault="00D87FFE" w:rsidP="006758D4">
            <w:pPr>
              <w:jc w:val="center"/>
              <w:rPr>
                <w:rFonts w:eastAsia="Times New Roman"/>
                <w:lang w:eastAsia="ru-RU"/>
              </w:rPr>
            </w:pPr>
            <w:r w:rsidRPr="00753485">
              <w:rPr>
                <w:rFonts w:eastAsia="Times New Roman"/>
                <w:lang w:eastAsia="ru-RU"/>
              </w:rPr>
              <w:t>54,01</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Pr>
                <w:rFonts w:eastAsia="Times New Roman"/>
                <w:lang w:eastAsia="ru-RU"/>
              </w:rPr>
              <w:t>63,6</w:t>
            </w:r>
          </w:p>
        </w:tc>
        <w:tc>
          <w:tcPr>
            <w:tcW w:w="1276" w:type="dxa"/>
            <w:shd w:val="clear" w:color="auto" w:fill="auto"/>
            <w:noWrap/>
            <w:vAlign w:val="center"/>
            <w:hideMark/>
          </w:tcPr>
          <w:p w:rsidR="00D87FFE" w:rsidRDefault="00D87FFE" w:rsidP="006758D4">
            <w:pPr>
              <w:jc w:val="center"/>
            </w:pPr>
            <w:r>
              <w:t>58,3</w:t>
            </w:r>
          </w:p>
        </w:tc>
        <w:tc>
          <w:tcPr>
            <w:tcW w:w="1276" w:type="dxa"/>
            <w:shd w:val="clear" w:color="auto" w:fill="auto"/>
            <w:noWrap/>
            <w:vAlign w:val="center"/>
            <w:hideMark/>
          </w:tcPr>
          <w:p w:rsidR="00D87FFE" w:rsidRDefault="00D87FFE" w:rsidP="006758D4">
            <w:pPr>
              <w:jc w:val="center"/>
            </w:pPr>
            <w:r>
              <w:t>58,3</w:t>
            </w:r>
          </w:p>
        </w:tc>
        <w:tc>
          <w:tcPr>
            <w:tcW w:w="1276" w:type="dxa"/>
            <w:shd w:val="clear" w:color="auto" w:fill="auto"/>
            <w:noWrap/>
            <w:vAlign w:val="center"/>
            <w:hideMark/>
          </w:tcPr>
          <w:p w:rsidR="00D87FFE" w:rsidRDefault="00D87FFE" w:rsidP="006758D4">
            <w:pPr>
              <w:jc w:val="center"/>
            </w:pPr>
            <w:r>
              <w:t>58,3</w:t>
            </w:r>
          </w:p>
        </w:tc>
        <w:tc>
          <w:tcPr>
            <w:tcW w:w="1417" w:type="dxa"/>
            <w:vAlign w:val="center"/>
          </w:tcPr>
          <w:p w:rsidR="00D87FFE" w:rsidRDefault="00D87FFE" w:rsidP="006758D4">
            <w:pPr>
              <w:jc w:val="center"/>
            </w:pPr>
            <w:r>
              <w:t>58,3</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r w:rsidR="00D87FFE" w:rsidRPr="00017B6D" w:rsidTr="006758D4">
        <w:tc>
          <w:tcPr>
            <w:tcW w:w="513" w:type="dxa"/>
            <w:tcBorders>
              <w:top w:val="nil"/>
              <w:bottom w:val="nil"/>
            </w:tcBorders>
            <w:shd w:val="clear" w:color="auto" w:fill="auto"/>
            <w:vAlign w:val="center"/>
            <w:hideMark/>
          </w:tcPr>
          <w:p w:rsidR="00D87FFE" w:rsidRPr="00753485" w:rsidRDefault="00D87FFE" w:rsidP="006758D4">
            <w:pPr>
              <w:jc w:val="left"/>
              <w:rPr>
                <w:rFonts w:eastAsia="Times New Roman"/>
                <w:color w:val="333333"/>
                <w:lang w:eastAsia="ru-RU"/>
              </w:rPr>
            </w:pPr>
            <w:r w:rsidRPr="00753485">
              <w:rPr>
                <w:rFonts w:eastAsia="Times New Roman"/>
                <w:color w:val="333333"/>
                <w:lang w:eastAsia="ru-RU"/>
              </w:rPr>
              <w:t> </w:t>
            </w:r>
          </w:p>
        </w:tc>
        <w:tc>
          <w:tcPr>
            <w:tcW w:w="3372" w:type="dxa"/>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тепловая энергия</w:t>
            </w:r>
          </w:p>
        </w:tc>
        <w:tc>
          <w:tcPr>
            <w:tcW w:w="1559" w:type="dxa"/>
            <w:shd w:val="clear" w:color="auto" w:fill="auto"/>
            <w:vAlign w:val="center"/>
            <w:hideMark/>
          </w:tcPr>
          <w:p w:rsidR="00D87FFE" w:rsidRPr="00017B6D" w:rsidRDefault="00D87FFE" w:rsidP="006758D4">
            <w:pPr>
              <w:jc w:val="center"/>
              <w:rPr>
                <w:rFonts w:eastAsia="Times New Roman"/>
                <w:color w:val="333333"/>
                <w:lang w:eastAsia="ru-RU"/>
              </w:rPr>
            </w:pPr>
            <w:r w:rsidRPr="00017B6D">
              <w:rPr>
                <w:rFonts w:eastAsia="Times New Roman"/>
                <w:color w:val="333333"/>
                <w:lang w:eastAsia="ru-RU"/>
              </w:rPr>
              <w:t>Гкал на 1 кв. метр общей площади</w:t>
            </w:r>
          </w:p>
        </w:tc>
        <w:tc>
          <w:tcPr>
            <w:tcW w:w="1276"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0,20</w:t>
            </w:r>
          </w:p>
        </w:tc>
        <w:tc>
          <w:tcPr>
            <w:tcW w:w="1275"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0,20</w:t>
            </w:r>
          </w:p>
        </w:tc>
        <w:tc>
          <w:tcPr>
            <w:tcW w:w="1276" w:type="dxa"/>
            <w:shd w:val="clear" w:color="auto" w:fill="auto"/>
            <w:noWrap/>
            <w:vAlign w:val="center"/>
            <w:hideMark/>
          </w:tcPr>
          <w:p w:rsidR="00D87FFE" w:rsidRDefault="00D87FFE" w:rsidP="006758D4">
            <w:pPr>
              <w:jc w:val="center"/>
            </w:pPr>
            <w:r>
              <w:t>0,17</w:t>
            </w:r>
          </w:p>
        </w:tc>
        <w:tc>
          <w:tcPr>
            <w:tcW w:w="1276" w:type="dxa"/>
            <w:shd w:val="clear" w:color="auto" w:fill="auto"/>
            <w:noWrap/>
            <w:vAlign w:val="center"/>
            <w:hideMark/>
          </w:tcPr>
          <w:p w:rsidR="00D87FFE" w:rsidRDefault="00D87FFE" w:rsidP="006758D4">
            <w:pPr>
              <w:jc w:val="center"/>
            </w:pPr>
            <w:r>
              <w:t>0,17</w:t>
            </w:r>
          </w:p>
        </w:tc>
        <w:tc>
          <w:tcPr>
            <w:tcW w:w="1276" w:type="dxa"/>
            <w:shd w:val="clear" w:color="auto" w:fill="auto"/>
            <w:noWrap/>
            <w:vAlign w:val="center"/>
            <w:hideMark/>
          </w:tcPr>
          <w:p w:rsidR="00D87FFE" w:rsidRDefault="00D87FFE" w:rsidP="006758D4">
            <w:pPr>
              <w:jc w:val="center"/>
            </w:pPr>
            <w:r>
              <w:t>0,17</w:t>
            </w:r>
          </w:p>
        </w:tc>
        <w:tc>
          <w:tcPr>
            <w:tcW w:w="1417" w:type="dxa"/>
            <w:vAlign w:val="center"/>
          </w:tcPr>
          <w:p w:rsidR="00D87FFE" w:rsidRDefault="00D87FFE" w:rsidP="006758D4">
            <w:pPr>
              <w:jc w:val="center"/>
            </w:pPr>
            <w:r>
              <w:t>0,17</w:t>
            </w:r>
          </w:p>
        </w:tc>
        <w:tc>
          <w:tcPr>
            <w:tcW w:w="2410" w:type="dxa"/>
            <w:shd w:val="clear" w:color="auto" w:fill="auto"/>
            <w:vAlign w:val="center"/>
            <w:hideMark/>
          </w:tcPr>
          <w:p w:rsidR="00D87FFE" w:rsidRPr="00017B6D" w:rsidRDefault="00D87FFE" w:rsidP="006758D4">
            <w:pPr>
              <w:jc w:val="left"/>
              <w:rPr>
                <w:rFonts w:eastAsia="Times New Roman"/>
                <w:lang w:eastAsia="ru-RU"/>
              </w:rPr>
            </w:pPr>
            <w:r w:rsidRPr="00017B6D">
              <w:rPr>
                <w:rFonts w:eastAsia="Times New Roman"/>
                <w:lang w:eastAsia="ru-RU"/>
              </w:rPr>
              <w:t> </w:t>
            </w:r>
          </w:p>
        </w:tc>
      </w:tr>
      <w:tr w:rsidR="00D87FFE" w:rsidRPr="00017B6D" w:rsidTr="006758D4">
        <w:tc>
          <w:tcPr>
            <w:tcW w:w="513" w:type="dxa"/>
            <w:tcBorders>
              <w:top w:val="nil"/>
              <w:bottom w:val="nil"/>
            </w:tcBorders>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 </w:t>
            </w:r>
          </w:p>
        </w:tc>
        <w:tc>
          <w:tcPr>
            <w:tcW w:w="3372" w:type="dxa"/>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горячая вода</w:t>
            </w:r>
          </w:p>
        </w:tc>
        <w:tc>
          <w:tcPr>
            <w:tcW w:w="1559" w:type="dxa"/>
            <w:shd w:val="clear" w:color="auto" w:fill="auto"/>
            <w:vAlign w:val="center"/>
            <w:hideMark/>
          </w:tcPr>
          <w:p w:rsidR="00D87FFE" w:rsidRPr="00017B6D" w:rsidRDefault="00D87FFE" w:rsidP="006758D4">
            <w:pPr>
              <w:jc w:val="center"/>
              <w:rPr>
                <w:rFonts w:eastAsia="Times New Roman"/>
                <w:color w:val="333333"/>
                <w:lang w:eastAsia="ru-RU"/>
              </w:rPr>
            </w:pPr>
            <w:r w:rsidRPr="00017B6D">
              <w:rPr>
                <w:rFonts w:eastAsia="Times New Roman"/>
                <w:color w:val="333333"/>
                <w:lang w:eastAsia="ru-RU"/>
              </w:rPr>
              <w:t>куб. метров на 1 человека населения</w:t>
            </w:r>
          </w:p>
        </w:tc>
        <w:tc>
          <w:tcPr>
            <w:tcW w:w="1276"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0,74</w:t>
            </w:r>
          </w:p>
        </w:tc>
        <w:tc>
          <w:tcPr>
            <w:tcW w:w="1275"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0,70</w:t>
            </w:r>
          </w:p>
        </w:tc>
        <w:tc>
          <w:tcPr>
            <w:tcW w:w="1276" w:type="dxa"/>
            <w:shd w:val="clear" w:color="auto" w:fill="auto"/>
            <w:noWrap/>
            <w:vAlign w:val="center"/>
            <w:hideMark/>
          </w:tcPr>
          <w:p w:rsidR="00D87FFE" w:rsidRDefault="00D87FFE" w:rsidP="006758D4">
            <w:pPr>
              <w:jc w:val="center"/>
            </w:pPr>
            <w:r>
              <w:t>0,65</w:t>
            </w:r>
          </w:p>
        </w:tc>
        <w:tc>
          <w:tcPr>
            <w:tcW w:w="1276" w:type="dxa"/>
            <w:shd w:val="clear" w:color="auto" w:fill="auto"/>
            <w:noWrap/>
            <w:vAlign w:val="center"/>
            <w:hideMark/>
          </w:tcPr>
          <w:p w:rsidR="00D87FFE" w:rsidRDefault="00D87FFE" w:rsidP="006758D4">
            <w:pPr>
              <w:jc w:val="center"/>
            </w:pPr>
            <w:r>
              <w:t>0,65</w:t>
            </w:r>
          </w:p>
        </w:tc>
        <w:tc>
          <w:tcPr>
            <w:tcW w:w="1276" w:type="dxa"/>
            <w:shd w:val="clear" w:color="auto" w:fill="auto"/>
            <w:noWrap/>
            <w:vAlign w:val="center"/>
            <w:hideMark/>
          </w:tcPr>
          <w:p w:rsidR="00D87FFE" w:rsidRDefault="00D87FFE" w:rsidP="006758D4">
            <w:pPr>
              <w:jc w:val="center"/>
            </w:pPr>
            <w:r>
              <w:t>0,65</w:t>
            </w:r>
          </w:p>
        </w:tc>
        <w:tc>
          <w:tcPr>
            <w:tcW w:w="1417" w:type="dxa"/>
            <w:vAlign w:val="center"/>
          </w:tcPr>
          <w:p w:rsidR="00D87FFE" w:rsidRDefault="00D87FFE" w:rsidP="006758D4">
            <w:pPr>
              <w:jc w:val="center"/>
            </w:pPr>
            <w:r>
              <w:t>0,65</w:t>
            </w:r>
          </w:p>
        </w:tc>
        <w:tc>
          <w:tcPr>
            <w:tcW w:w="2410" w:type="dxa"/>
            <w:shd w:val="clear" w:color="auto" w:fill="auto"/>
            <w:vAlign w:val="center"/>
            <w:hideMark/>
          </w:tcPr>
          <w:p w:rsidR="00D87FFE" w:rsidRPr="00017B6D" w:rsidRDefault="00D87FFE" w:rsidP="006758D4">
            <w:pPr>
              <w:jc w:val="left"/>
              <w:rPr>
                <w:rFonts w:eastAsia="Times New Roman"/>
                <w:lang w:eastAsia="ru-RU"/>
              </w:rPr>
            </w:pPr>
            <w:r w:rsidRPr="00017B6D">
              <w:rPr>
                <w:rFonts w:eastAsia="Times New Roman"/>
                <w:lang w:eastAsia="ru-RU"/>
              </w:rPr>
              <w:t> </w:t>
            </w:r>
          </w:p>
        </w:tc>
      </w:tr>
      <w:tr w:rsidR="00D87FFE" w:rsidRPr="00017B6D" w:rsidTr="006758D4">
        <w:tc>
          <w:tcPr>
            <w:tcW w:w="513" w:type="dxa"/>
            <w:tcBorders>
              <w:top w:val="nil"/>
              <w:bottom w:val="nil"/>
            </w:tcBorders>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 </w:t>
            </w:r>
          </w:p>
        </w:tc>
        <w:tc>
          <w:tcPr>
            <w:tcW w:w="3372" w:type="dxa"/>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холодная вода</w:t>
            </w:r>
          </w:p>
        </w:tc>
        <w:tc>
          <w:tcPr>
            <w:tcW w:w="1559" w:type="dxa"/>
            <w:shd w:val="clear" w:color="auto" w:fill="auto"/>
            <w:vAlign w:val="center"/>
            <w:hideMark/>
          </w:tcPr>
          <w:p w:rsidR="00D87FFE" w:rsidRPr="00017B6D" w:rsidRDefault="00D87FFE" w:rsidP="006758D4">
            <w:pPr>
              <w:jc w:val="center"/>
              <w:rPr>
                <w:rFonts w:eastAsia="Times New Roman"/>
                <w:color w:val="333333"/>
                <w:lang w:eastAsia="ru-RU"/>
              </w:rPr>
            </w:pPr>
            <w:r w:rsidRPr="00017B6D">
              <w:rPr>
                <w:rFonts w:eastAsia="Times New Roman"/>
                <w:color w:val="333333"/>
                <w:lang w:eastAsia="ru-RU"/>
              </w:rPr>
              <w:t>куб. метров на 1 человека населения</w:t>
            </w:r>
          </w:p>
        </w:tc>
        <w:tc>
          <w:tcPr>
            <w:tcW w:w="1276"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1,18</w:t>
            </w:r>
          </w:p>
        </w:tc>
        <w:tc>
          <w:tcPr>
            <w:tcW w:w="1275"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1,20</w:t>
            </w:r>
          </w:p>
        </w:tc>
        <w:tc>
          <w:tcPr>
            <w:tcW w:w="1276" w:type="dxa"/>
            <w:shd w:val="clear" w:color="auto" w:fill="auto"/>
            <w:noWrap/>
            <w:vAlign w:val="center"/>
            <w:hideMark/>
          </w:tcPr>
          <w:p w:rsidR="00D87FFE" w:rsidRDefault="00D87FFE" w:rsidP="006758D4">
            <w:pPr>
              <w:jc w:val="center"/>
            </w:pPr>
            <w:r>
              <w:t>1,02</w:t>
            </w:r>
          </w:p>
        </w:tc>
        <w:tc>
          <w:tcPr>
            <w:tcW w:w="1276" w:type="dxa"/>
            <w:shd w:val="clear" w:color="auto" w:fill="auto"/>
            <w:noWrap/>
            <w:vAlign w:val="center"/>
            <w:hideMark/>
          </w:tcPr>
          <w:p w:rsidR="00D87FFE" w:rsidRDefault="00D87FFE" w:rsidP="006758D4">
            <w:pPr>
              <w:jc w:val="center"/>
            </w:pPr>
            <w:r>
              <w:t>1,02</w:t>
            </w:r>
          </w:p>
        </w:tc>
        <w:tc>
          <w:tcPr>
            <w:tcW w:w="1276" w:type="dxa"/>
            <w:shd w:val="clear" w:color="auto" w:fill="auto"/>
            <w:noWrap/>
            <w:vAlign w:val="center"/>
            <w:hideMark/>
          </w:tcPr>
          <w:p w:rsidR="00D87FFE" w:rsidRDefault="00D87FFE" w:rsidP="006758D4">
            <w:pPr>
              <w:jc w:val="center"/>
            </w:pPr>
            <w:r>
              <w:t>1,02</w:t>
            </w:r>
          </w:p>
        </w:tc>
        <w:tc>
          <w:tcPr>
            <w:tcW w:w="1417" w:type="dxa"/>
            <w:vAlign w:val="center"/>
          </w:tcPr>
          <w:p w:rsidR="00D87FFE" w:rsidRDefault="00D87FFE" w:rsidP="006758D4">
            <w:pPr>
              <w:jc w:val="center"/>
            </w:pPr>
            <w:r>
              <w:t>1,02</w:t>
            </w:r>
          </w:p>
        </w:tc>
        <w:tc>
          <w:tcPr>
            <w:tcW w:w="2410" w:type="dxa"/>
            <w:shd w:val="clear" w:color="auto" w:fill="auto"/>
            <w:vAlign w:val="center"/>
            <w:hideMark/>
          </w:tcPr>
          <w:p w:rsidR="00D87FFE" w:rsidRPr="00017B6D" w:rsidRDefault="00D87FFE" w:rsidP="006758D4">
            <w:pPr>
              <w:jc w:val="left"/>
              <w:rPr>
                <w:rFonts w:eastAsia="Times New Roman"/>
                <w:lang w:eastAsia="ru-RU"/>
              </w:rPr>
            </w:pPr>
            <w:r w:rsidRPr="00017B6D">
              <w:rPr>
                <w:rFonts w:eastAsia="Times New Roman"/>
                <w:lang w:eastAsia="ru-RU"/>
              </w:rPr>
              <w:t> </w:t>
            </w:r>
          </w:p>
        </w:tc>
      </w:tr>
      <w:tr w:rsidR="00D87FFE" w:rsidRPr="00753485" w:rsidTr="006758D4">
        <w:tc>
          <w:tcPr>
            <w:tcW w:w="513" w:type="dxa"/>
            <w:tcBorders>
              <w:top w:val="nil"/>
            </w:tcBorders>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 </w:t>
            </w:r>
          </w:p>
        </w:tc>
        <w:tc>
          <w:tcPr>
            <w:tcW w:w="3372" w:type="dxa"/>
            <w:shd w:val="clear" w:color="auto" w:fill="auto"/>
            <w:vAlign w:val="center"/>
            <w:hideMark/>
          </w:tcPr>
          <w:p w:rsidR="00D87FFE" w:rsidRPr="00017B6D" w:rsidRDefault="00D87FFE" w:rsidP="006758D4">
            <w:pPr>
              <w:jc w:val="left"/>
              <w:rPr>
                <w:rFonts w:eastAsia="Times New Roman"/>
                <w:color w:val="333333"/>
                <w:lang w:eastAsia="ru-RU"/>
              </w:rPr>
            </w:pPr>
            <w:r w:rsidRPr="00017B6D">
              <w:rPr>
                <w:rFonts w:eastAsia="Times New Roman"/>
                <w:color w:val="333333"/>
                <w:lang w:eastAsia="ru-RU"/>
              </w:rPr>
              <w:t>природный газ</w:t>
            </w:r>
          </w:p>
        </w:tc>
        <w:tc>
          <w:tcPr>
            <w:tcW w:w="1559" w:type="dxa"/>
            <w:shd w:val="clear" w:color="auto" w:fill="auto"/>
            <w:vAlign w:val="center"/>
            <w:hideMark/>
          </w:tcPr>
          <w:p w:rsidR="00D87FFE" w:rsidRPr="00017B6D" w:rsidRDefault="00D87FFE" w:rsidP="006758D4">
            <w:pPr>
              <w:jc w:val="center"/>
              <w:rPr>
                <w:rFonts w:eastAsia="Times New Roman"/>
                <w:color w:val="333333"/>
                <w:lang w:eastAsia="ru-RU"/>
              </w:rPr>
            </w:pPr>
            <w:r w:rsidRPr="00017B6D">
              <w:rPr>
                <w:rFonts w:eastAsia="Times New Roman"/>
                <w:color w:val="333333"/>
                <w:lang w:eastAsia="ru-RU"/>
              </w:rPr>
              <w:t>куб. метров на 1 человека населения</w:t>
            </w:r>
          </w:p>
        </w:tc>
        <w:tc>
          <w:tcPr>
            <w:tcW w:w="1276" w:type="dxa"/>
            <w:shd w:val="clear" w:color="auto" w:fill="auto"/>
            <w:noWrap/>
            <w:vAlign w:val="center"/>
            <w:hideMark/>
          </w:tcPr>
          <w:p w:rsidR="00D87FFE" w:rsidRPr="00017B6D" w:rsidRDefault="00D87FFE" w:rsidP="006758D4">
            <w:pPr>
              <w:jc w:val="center"/>
              <w:rPr>
                <w:rFonts w:eastAsia="Times New Roman"/>
                <w:lang w:eastAsia="ru-RU"/>
              </w:rPr>
            </w:pPr>
            <w:r w:rsidRPr="00017B6D">
              <w:rPr>
                <w:rFonts w:eastAsia="Times New Roman"/>
                <w:lang w:eastAsia="ru-RU"/>
              </w:rPr>
              <w:t>0</w:t>
            </w:r>
          </w:p>
        </w:tc>
        <w:tc>
          <w:tcPr>
            <w:tcW w:w="1275" w:type="dxa"/>
            <w:shd w:val="clear" w:color="auto" w:fill="auto"/>
            <w:noWrap/>
            <w:vAlign w:val="center"/>
            <w:hideMark/>
          </w:tcPr>
          <w:p w:rsidR="00D87FFE" w:rsidRPr="00753485" w:rsidRDefault="00D87FFE" w:rsidP="006758D4">
            <w:pPr>
              <w:jc w:val="center"/>
              <w:rPr>
                <w:rFonts w:eastAsia="Times New Roman"/>
                <w:lang w:eastAsia="ru-RU"/>
              </w:rPr>
            </w:pPr>
            <w:r w:rsidRPr="00017B6D">
              <w:rPr>
                <w:rFonts w:eastAsia="Times New Roman"/>
                <w:lang w:eastAsia="ru-RU"/>
              </w:rPr>
              <w:t>0</w:t>
            </w:r>
          </w:p>
        </w:tc>
        <w:tc>
          <w:tcPr>
            <w:tcW w:w="1276" w:type="dxa"/>
            <w:shd w:val="clear" w:color="auto" w:fill="auto"/>
            <w:noWrap/>
            <w:vAlign w:val="center"/>
            <w:hideMark/>
          </w:tcPr>
          <w:p w:rsidR="00D87FFE" w:rsidRDefault="00D87FFE" w:rsidP="006758D4">
            <w:pPr>
              <w:jc w:val="center"/>
            </w:pPr>
            <w:r>
              <w:t>0</w:t>
            </w:r>
          </w:p>
        </w:tc>
        <w:tc>
          <w:tcPr>
            <w:tcW w:w="1276" w:type="dxa"/>
            <w:shd w:val="clear" w:color="auto" w:fill="auto"/>
            <w:noWrap/>
            <w:vAlign w:val="center"/>
            <w:hideMark/>
          </w:tcPr>
          <w:p w:rsidR="00D87FFE" w:rsidRDefault="00D87FFE" w:rsidP="006758D4">
            <w:pPr>
              <w:jc w:val="center"/>
            </w:pPr>
            <w:r>
              <w:t>0</w:t>
            </w:r>
          </w:p>
        </w:tc>
        <w:tc>
          <w:tcPr>
            <w:tcW w:w="1276" w:type="dxa"/>
            <w:shd w:val="clear" w:color="auto" w:fill="auto"/>
            <w:noWrap/>
            <w:vAlign w:val="center"/>
            <w:hideMark/>
          </w:tcPr>
          <w:p w:rsidR="00D87FFE" w:rsidRDefault="00D87FFE" w:rsidP="006758D4">
            <w:pPr>
              <w:jc w:val="center"/>
            </w:pPr>
            <w:r>
              <w:t>0</w:t>
            </w:r>
          </w:p>
        </w:tc>
        <w:tc>
          <w:tcPr>
            <w:tcW w:w="1417" w:type="dxa"/>
            <w:vAlign w:val="center"/>
          </w:tcPr>
          <w:p w:rsidR="00D87FFE" w:rsidRDefault="00D87FFE" w:rsidP="006758D4">
            <w:pPr>
              <w:jc w:val="center"/>
            </w:pPr>
            <w:r>
              <w:t>0</w:t>
            </w:r>
          </w:p>
        </w:tc>
        <w:tc>
          <w:tcPr>
            <w:tcW w:w="2410" w:type="dxa"/>
            <w:shd w:val="clear" w:color="auto" w:fill="auto"/>
            <w:vAlign w:val="center"/>
            <w:hideMark/>
          </w:tcPr>
          <w:p w:rsidR="00D87FFE" w:rsidRPr="00753485" w:rsidRDefault="00D87FFE" w:rsidP="006758D4">
            <w:pPr>
              <w:jc w:val="left"/>
              <w:rPr>
                <w:rFonts w:eastAsia="Times New Roman"/>
                <w:lang w:eastAsia="ru-RU"/>
              </w:rPr>
            </w:pPr>
            <w:r w:rsidRPr="00753485">
              <w:rPr>
                <w:rFonts w:eastAsia="Times New Roman"/>
                <w:lang w:eastAsia="ru-RU"/>
              </w:rPr>
              <w:t> </w:t>
            </w:r>
          </w:p>
        </w:tc>
      </w:tr>
    </w:tbl>
    <w:p w:rsidR="00D87FFE" w:rsidRDefault="00D87FFE" w:rsidP="00D87FFE"/>
    <w:p w:rsidR="00D87FFE" w:rsidRDefault="00D87FFE">
      <w:pPr>
        <w:sectPr w:rsidR="00D87FFE" w:rsidSect="00323581">
          <w:pgSz w:w="16838" w:h="11905" w:orient="landscape" w:code="9"/>
          <w:pgMar w:top="1304" w:right="680" w:bottom="964" w:left="680" w:header="0" w:footer="284" w:gutter="0"/>
          <w:cols w:space="708"/>
          <w:docGrid w:linePitch="326"/>
        </w:sectPr>
      </w:pPr>
    </w:p>
    <w:p w:rsidR="00D87FFE" w:rsidRPr="0098432C" w:rsidRDefault="00D87FFE" w:rsidP="00D87FFE">
      <w:pPr>
        <w:pStyle w:val="ConsPlusNormal"/>
        <w:spacing w:line="276" w:lineRule="auto"/>
        <w:jc w:val="center"/>
        <w:rPr>
          <w:szCs w:val="24"/>
        </w:rPr>
      </w:pP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ТЕКСТОВАЯ ЧАСТЬ ДОКЛАДА</w:t>
      </w:r>
    </w:p>
    <w:p w:rsidR="00D87FFE" w:rsidRPr="0098432C" w:rsidRDefault="00D87FFE" w:rsidP="00D87FFE">
      <w:pPr>
        <w:pStyle w:val="ConsPlusNonformat"/>
        <w:spacing w:line="276" w:lineRule="auto"/>
        <w:jc w:val="center"/>
        <w:rPr>
          <w:rFonts w:ascii="Times New Roman" w:hAnsi="Times New Roman" w:cs="Times New Roman"/>
          <w:b/>
          <w:sz w:val="24"/>
          <w:szCs w:val="24"/>
        </w:rPr>
      </w:pPr>
    </w:p>
    <w:p w:rsidR="00D87FFE" w:rsidRPr="0098432C" w:rsidRDefault="00D87FFE" w:rsidP="00D87FFE">
      <w:pPr>
        <w:pStyle w:val="ConsPlusNonformat"/>
        <w:spacing w:line="276" w:lineRule="auto"/>
        <w:jc w:val="center"/>
        <w:rPr>
          <w:rFonts w:ascii="Times New Roman" w:hAnsi="Times New Roman" w:cs="Times New Roman"/>
          <w:b/>
          <w:sz w:val="28"/>
          <w:szCs w:val="28"/>
          <w:u w:val="single"/>
        </w:rPr>
      </w:pPr>
      <w:r w:rsidRPr="0098432C">
        <w:rPr>
          <w:rFonts w:ascii="Times New Roman" w:hAnsi="Times New Roman" w:cs="Times New Roman"/>
          <w:b/>
          <w:sz w:val="28"/>
          <w:szCs w:val="28"/>
          <w:u w:val="single"/>
        </w:rPr>
        <w:t>Воронкова Михаила Васильевича – главы администрации</w:t>
      </w:r>
    </w:p>
    <w:p w:rsidR="00D87FFE" w:rsidRPr="0098432C" w:rsidRDefault="00D87FFE" w:rsidP="00D87FFE">
      <w:pPr>
        <w:pStyle w:val="ConsPlusNonformat"/>
        <w:spacing w:line="276" w:lineRule="auto"/>
        <w:jc w:val="center"/>
        <w:rPr>
          <w:rFonts w:ascii="Times New Roman" w:hAnsi="Times New Roman" w:cs="Times New Roman"/>
          <w:sz w:val="24"/>
          <w:szCs w:val="24"/>
        </w:rPr>
      </w:pPr>
      <w:r w:rsidRPr="0098432C">
        <w:rPr>
          <w:rFonts w:ascii="Times New Roman" w:hAnsi="Times New Roman" w:cs="Times New Roman"/>
          <w:sz w:val="24"/>
          <w:szCs w:val="24"/>
        </w:rPr>
        <w:t>(фамилия, имя, отчество главы администрации городского округа)</w:t>
      </w:r>
    </w:p>
    <w:p w:rsidR="00D87FFE" w:rsidRPr="0098432C" w:rsidRDefault="00D87FFE" w:rsidP="00D87FFE">
      <w:pPr>
        <w:pStyle w:val="ConsPlusNonformat"/>
        <w:spacing w:line="276" w:lineRule="auto"/>
        <w:jc w:val="center"/>
        <w:rPr>
          <w:rFonts w:ascii="Times New Roman" w:hAnsi="Times New Roman" w:cs="Times New Roman"/>
          <w:b/>
          <w:sz w:val="28"/>
          <w:szCs w:val="28"/>
          <w:u w:val="single"/>
        </w:rPr>
      </w:pPr>
      <w:r w:rsidRPr="0098432C">
        <w:rPr>
          <w:rFonts w:ascii="Times New Roman" w:hAnsi="Times New Roman" w:cs="Times New Roman"/>
          <w:b/>
          <w:sz w:val="28"/>
          <w:szCs w:val="28"/>
          <w:u w:val="single"/>
        </w:rPr>
        <w:t>Сосновоборского городского округа</w:t>
      </w:r>
    </w:p>
    <w:p w:rsidR="00D87FFE" w:rsidRPr="0098432C" w:rsidRDefault="00D87FFE" w:rsidP="00D87FFE">
      <w:pPr>
        <w:pStyle w:val="ConsPlusNonformat"/>
        <w:spacing w:line="276" w:lineRule="auto"/>
        <w:jc w:val="center"/>
        <w:rPr>
          <w:rFonts w:ascii="Times New Roman" w:hAnsi="Times New Roman" w:cs="Times New Roman"/>
          <w:sz w:val="24"/>
          <w:szCs w:val="24"/>
        </w:rPr>
      </w:pPr>
      <w:r w:rsidRPr="0098432C">
        <w:rPr>
          <w:rFonts w:ascii="Times New Roman" w:hAnsi="Times New Roman" w:cs="Times New Roman"/>
          <w:sz w:val="24"/>
          <w:szCs w:val="24"/>
        </w:rPr>
        <w:t>(наименование городского округа)</w:t>
      </w:r>
    </w:p>
    <w:p w:rsidR="00D87FFE" w:rsidRPr="0098432C" w:rsidRDefault="00D87FFE" w:rsidP="00D87FFE">
      <w:pPr>
        <w:pStyle w:val="ConsPlusNonformat"/>
        <w:spacing w:line="276" w:lineRule="auto"/>
        <w:jc w:val="center"/>
        <w:rPr>
          <w:rFonts w:ascii="Times New Roman" w:hAnsi="Times New Roman" w:cs="Times New Roman"/>
          <w:b/>
          <w:sz w:val="24"/>
          <w:szCs w:val="24"/>
        </w:rPr>
      </w:pP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о достигнутых значениях показателей для оценки эффективности</w:t>
      </w: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 xml:space="preserve">деятельности органов местного самоуправления городского округа </w:t>
      </w:r>
    </w:p>
    <w:p w:rsidR="00D87FFE" w:rsidRPr="0098432C" w:rsidRDefault="00D87FFE" w:rsidP="00D87FFE">
      <w:pPr>
        <w:pStyle w:val="ConsPlusNonformat"/>
        <w:spacing w:line="276" w:lineRule="auto"/>
        <w:jc w:val="center"/>
        <w:rPr>
          <w:rFonts w:ascii="Times New Roman" w:hAnsi="Times New Roman" w:cs="Times New Roman"/>
          <w:b/>
          <w:sz w:val="28"/>
          <w:szCs w:val="28"/>
        </w:rPr>
      </w:pPr>
      <w:r w:rsidRPr="0098432C">
        <w:rPr>
          <w:rFonts w:ascii="Times New Roman" w:hAnsi="Times New Roman" w:cs="Times New Roman"/>
          <w:b/>
          <w:sz w:val="28"/>
          <w:szCs w:val="28"/>
        </w:rPr>
        <w:t xml:space="preserve">за 2018 год и их планируемых </w:t>
      </w:r>
      <w:proofErr w:type="gramStart"/>
      <w:r w:rsidRPr="0098432C">
        <w:rPr>
          <w:rFonts w:ascii="Times New Roman" w:hAnsi="Times New Roman" w:cs="Times New Roman"/>
          <w:b/>
          <w:sz w:val="28"/>
          <w:szCs w:val="28"/>
        </w:rPr>
        <w:t>значениях</w:t>
      </w:r>
      <w:proofErr w:type="gramEnd"/>
      <w:r w:rsidRPr="0098432C">
        <w:rPr>
          <w:rFonts w:ascii="Times New Roman" w:hAnsi="Times New Roman" w:cs="Times New Roman"/>
          <w:b/>
          <w:sz w:val="28"/>
          <w:szCs w:val="28"/>
        </w:rPr>
        <w:t xml:space="preserve"> на трехлетний период</w:t>
      </w:r>
    </w:p>
    <w:p w:rsidR="00D87FFE" w:rsidRPr="0098432C" w:rsidRDefault="00D87FFE" w:rsidP="00D87FFE">
      <w:pPr>
        <w:pStyle w:val="ConsPlusNonformat"/>
        <w:spacing w:line="276" w:lineRule="auto"/>
        <w:jc w:val="center"/>
        <w:rPr>
          <w:rFonts w:ascii="Times New Roman" w:hAnsi="Times New Roman" w:cs="Times New Roman"/>
          <w:sz w:val="24"/>
          <w:szCs w:val="24"/>
        </w:rPr>
      </w:pPr>
    </w:p>
    <w:p w:rsidR="00D87FFE" w:rsidRPr="0098432C" w:rsidRDefault="00D87FFE" w:rsidP="00D87FFE">
      <w:pPr>
        <w:pStyle w:val="ConsPlusNonformat"/>
        <w:spacing w:line="276" w:lineRule="auto"/>
        <w:jc w:val="center"/>
        <w:rPr>
          <w:rFonts w:ascii="Times New Roman" w:hAnsi="Times New Roman" w:cs="Times New Roman"/>
          <w:sz w:val="24"/>
          <w:szCs w:val="24"/>
        </w:rPr>
      </w:pP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sidRPr="0098432C">
        <w:rPr>
          <w:rFonts w:ascii="Times New Roman" w:hAnsi="Times New Roman" w:cs="Times New Roman"/>
          <w:sz w:val="24"/>
          <w:szCs w:val="24"/>
        </w:rPr>
        <w:t>________________________</w:t>
      </w: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sidRPr="0098432C">
        <w:rPr>
          <w:rFonts w:ascii="Times New Roman" w:hAnsi="Times New Roman" w:cs="Times New Roman"/>
          <w:sz w:val="24"/>
          <w:szCs w:val="24"/>
        </w:rPr>
        <w:t>(подпись)</w:t>
      </w:r>
    </w:p>
    <w:p w:rsidR="00D87FFE" w:rsidRPr="0098432C" w:rsidRDefault="00D87FFE" w:rsidP="00D87FFE">
      <w:pPr>
        <w:pStyle w:val="ConsPlusNonformat"/>
        <w:spacing w:line="276" w:lineRule="auto"/>
        <w:ind w:left="4956" w:firstLine="708"/>
        <w:jc w:val="center"/>
        <w:rPr>
          <w:rFonts w:ascii="Times New Roman" w:hAnsi="Times New Roman" w:cs="Times New Roman"/>
          <w:sz w:val="24"/>
          <w:szCs w:val="24"/>
        </w:rPr>
      </w:pPr>
      <w:r>
        <w:rPr>
          <w:rFonts w:ascii="Times New Roman" w:hAnsi="Times New Roman" w:cs="Times New Roman"/>
          <w:sz w:val="24"/>
          <w:szCs w:val="24"/>
          <w:u w:val="single"/>
        </w:rPr>
        <w:t xml:space="preserve">  26</w:t>
      </w:r>
      <w:r w:rsidRPr="0098432C">
        <w:rPr>
          <w:rFonts w:ascii="Times New Roman" w:hAnsi="Times New Roman" w:cs="Times New Roman"/>
          <w:sz w:val="24"/>
          <w:szCs w:val="24"/>
          <w:u w:val="single"/>
        </w:rPr>
        <w:t xml:space="preserve">  </w:t>
      </w:r>
      <w:r w:rsidRPr="0098432C">
        <w:rPr>
          <w:rFonts w:ascii="Times New Roman" w:hAnsi="Times New Roman" w:cs="Times New Roman"/>
          <w:sz w:val="24"/>
          <w:szCs w:val="24"/>
        </w:rPr>
        <w:t xml:space="preserve"> апреля 2019 года</w:t>
      </w:r>
    </w:p>
    <w:p w:rsidR="00D87FFE" w:rsidRPr="0098432C" w:rsidRDefault="00D87FFE" w:rsidP="00D87FFE">
      <w:pPr>
        <w:pStyle w:val="ConsPlusNormal"/>
        <w:spacing w:line="276" w:lineRule="auto"/>
        <w:jc w:val="both"/>
        <w:rPr>
          <w:szCs w:val="24"/>
        </w:rPr>
      </w:pPr>
    </w:p>
    <w:p w:rsidR="00D87FFE" w:rsidRPr="0098432C" w:rsidRDefault="00D87FFE" w:rsidP="00D87FFE">
      <w:pPr>
        <w:pStyle w:val="ConsPlusNormal"/>
        <w:spacing w:line="276" w:lineRule="auto"/>
        <w:jc w:val="both"/>
        <w:rPr>
          <w:szCs w:val="24"/>
        </w:rPr>
      </w:pPr>
    </w:p>
    <w:p w:rsidR="00D87FFE" w:rsidRPr="0098432C" w:rsidRDefault="00D87FFE" w:rsidP="00D87FFE">
      <w:pPr>
        <w:pStyle w:val="ConsPlusNormal"/>
        <w:spacing w:line="276" w:lineRule="auto"/>
        <w:jc w:val="center"/>
        <w:rPr>
          <w:b/>
          <w:sz w:val="28"/>
          <w:szCs w:val="28"/>
        </w:rPr>
      </w:pPr>
      <w:r w:rsidRPr="0098432C">
        <w:rPr>
          <w:b/>
          <w:sz w:val="28"/>
          <w:szCs w:val="28"/>
        </w:rPr>
        <w:t xml:space="preserve">Основные сведения о городском округе </w:t>
      </w:r>
    </w:p>
    <w:p w:rsidR="00D87FFE" w:rsidRPr="0098432C" w:rsidRDefault="00D87FFE" w:rsidP="00D87FFE">
      <w:pPr>
        <w:pStyle w:val="ConsPlusNormal"/>
        <w:spacing w:line="276" w:lineRule="auto"/>
        <w:jc w:val="center"/>
        <w:rPr>
          <w:b/>
          <w:sz w:val="28"/>
          <w:szCs w:val="28"/>
        </w:rPr>
      </w:pPr>
      <w:r w:rsidRPr="0098432C">
        <w:rPr>
          <w:b/>
          <w:sz w:val="28"/>
          <w:szCs w:val="28"/>
        </w:rPr>
        <w:t xml:space="preserve">и </w:t>
      </w:r>
      <w:proofErr w:type="gramStart"/>
      <w:r w:rsidRPr="0098432C">
        <w:rPr>
          <w:b/>
          <w:sz w:val="28"/>
          <w:szCs w:val="28"/>
        </w:rPr>
        <w:t>органах</w:t>
      </w:r>
      <w:proofErr w:type="gramEnd"/>
      <w:r w:rsidRPr="0098432C">
        <w:rPr>
          <w:b/>
          <w:sz w:val="28"/>
          <w:szCs w:val="28"/>
        </w:rPr>
        <w:t xml:space="preserve"> местного самоуправления городского округа</w:t>
      </w:r>
    </w:p>
    <w:p w:rsidR="00D87FFE" w:rsidRPr="0098432C" w:rsidRDefault="00D87FFE" w:rsidP="00D87FFE">
      <w:pPr>
        <w:pStyle w:val="ConsPlusNormal"/>
        <w:spacing w:line="276" w:lineRule="auto"/>
        <w:jc w:val="center"/>
        <w:rPr>
          <w:b/>
          <w:sz w:val="28"/>
          <w:szCs w:val="28"/>
        </w:rPr>
      </w:pPr>
    </w:p>
    <w:p w:rsidR="00D87FFE" w:rsidRPr="0098432C" w:rsidRDefault="00D87FFE" w:rsidP="00E034F8">
      <w:pPr>
        <w:pStyle w:val="ConsPlusNormal"/>
        <w:spacing w:line="276" w:lineRule="auto"/>
        <w:ind w:firstLine="709"/>
        <w:jc w:val="both"/>
        <w:rPr>
          <w:szCs w:val="24"/>
        </w:rPr>
      </w:pPr>
      <w:r w:rsidRPr="0098432C">
        <w:rPr>
          <w:szCs w:val="24"/>
        </w:rPr>
        <w:t>Муниципальное образование Сосновоборский городской округ Ленинградской области образовано (установлены его границы, присвоен соответствующий статус, определен административный центр) областным законом от 15.06.2010 № 32-оз «Об административно-территориальном устройстве Ленинградской области и порядке его изменения».</w:t>
      </w:r>
    </w:p>
    <w:p w:rsidR="00D87FFE" w:rsidRPr="0098432C" w:rsidRDefault="00D87FFE" w:rsidP="00E034F8">
      <w:pPr>
        <w:pStyle w:val="ConsPlusNormal"/>
        <w:spacing w:line="276" w:lineRule="auto"/>
        <w:ind w:firstLine="709"/>
        <w:jc w:val="both"/>
        <w:rPr>
          <w:szCs w:val="24"/>
        </w:rPr>
      </w:pPr>
      <w:r w:rsidRPr="0098432C">
        <w:rPr>
          <w:szCs w:val="24"/>
        </w:rPr>
        <w:t>Административный центр Сосновоборского городского округа – город Сосновый Бор.</w:t>
      </w:r>
    </w:p>
    <w:p w:rsidR="00D87FFE" w:rsidRPr="0098432C" w:rsidRDefault="00D87FFE" w:rsidP="00E034F8">
      <w:pPr>
        <w:pStyle w:val="ConsPlusNormal"/>
        <w:spacing w:line="276" w:lineRule="auto"/>
        <w:ind w:firstLine="709"/>
        <w:jc w:val="both"/>
        <w:rPr>
          <w:szCs w:val="24"/>
        </w:rPr>
      </w:pPr>
      <w:r w:rsidRPr="0098432C">
        <w:rPr>
          <w:szCs w:val="24"/>
        </w:rPr>
        <w:t>Преобразований городского округа, принятых областными законами после 2005 года, не было.</w:t>
      </w:r>
    </w:p>
    <w:p w:rsidR="00D87FFE" w:rsidRPr="0098432C" w:rsidRDefault="00D87FFE" w:rsidP="00E034F8">
      <w:pPr>
        <w:pStyle w:val="ConsPlusNormal"/>
        <w:spacing w:line="276" w:lineRule="auto"/>
        <w:ind w:firstLine="709"/>
        <w:jc w:val="both"/>
        <w:rPr>
          <w:szCs w:val="24"/>
        </w:rPr>
      </w:pPr>
      <w:r w:rsidRPr="0098432C">
        <w:rPr>
          <w:szCs w:val="24"/>
        </w:rPr>
        <w:t>Площадь Сосновоборского городского округа по состоянию на 31 декабря отчетного года – 88,4 кв. км.</w:t>
      </w:r>
    </w:p>
    <w:p w:rsidR="00D87FFE" w:rsidRPr="0098432C" w:rsidRDefault="00D87FFE" w:rsidP="00E034F8">
      <w:pPr>
        <w:pStyle w:val="ConsPlusNormal"/>
        <w:spacing w:line="276" w:lineRule="auto"/>
        <w:ind w:firstLine="709"/>
        <w:jc w:val="both"/>
        <w:rPr>
          <w:szCs w:val="24"/>
        </w:rPr>
      </w:pPr>
      <w:r w:rsidRPr="0098432C">
        <w:rPr>
          <w:szCs w:val="24"/>
        </w:rPr>
        <w:t>Население Сосновоборского городского округа по состоянию на 31 декабря отчетного года – 68,3 тыс. чел., все население городское.</w:t>
      </w:r>
    </w:p>
    <w:p w:rsidR="00D87FFE" w:rsidRPr="0098432C" w:rsidRDefault="00D87FFE" w:rsidP="00E034F8">
      <w:pPr>
        <w:pStyle w:val="ConsPlusNormal"/>
        <w:spacing w:line="276" w:lineRule="auto"/>
        <w:ind w:firstLine="709"/>
        <w:jc w:val="both"/>
        <w:rPr>
          <w:szCs w:val="24"/>
        </w:rPr>
      </w:pPr>
      <w:r w:rsidRPr="0098432C">
        <w:rPr>
          <w:szCs w:val="24"/>
        </w:rPr>
        <w:t>Представительный орган – совет депутатов Сосновоборского городского округа формируется на муниципальных выборах, действующий состав совета депутатов избран 14 сентября 2014 года на 5 лет, число депутатов – 20 человек по Уставу, фактически по состоянию на 31 декабря отчетного года – 19 человек.</w:t>
      </w:r>
    </w:p>
    <w:p w:rsidR="00D87FFE" w:rsidRPr="0098432C" w:rsidRDefault="00D87FFE" w:rsidP="00E034F8">
      <w:pPr>
        <w:pStyle w:val="ConsPlusNormal"/>
        <w:spacing w:line="276" w:lineRule="auto"/>
        <w:ind w:firstLine="709"/>
        <w:jc w:val="both"/>
        <w:rPr>
          <w:szCs w:val="24"/>
        </w:rPr>
      </w:pPr>
      <w:r w:rsidRPr="0098432C">
        <w:rPr>
          <w:szCs w:val="24"/>
        </w:rPr>
        <w:t xml:space="preserve">Администрацию Сосновоборского городского округа возглавляет глава администрации, </w:t>
      </w:r>
      <w:proofErr w:type="gramStart"/>
      <w:r w:rsidRPr="0098432C">
        <w:rPr>
          <w:szCs w:val="24"/>
        </w:rPr>
        <w:t>назначаемый</w:t>
      </w:r>
      <w:proofErr w:type="gramEnd"/>
      <w:r w:rsidRPr="0098432C">
        <w:rPr>
          <w:szCs w:val="24"/>
        </w:rPr>
        <w:t xml:space="preserve"> по контракту. Действовавший в отчетном году глава администрации округа Воронков Михаил Васильевич был назначен по контракту 29 июня 2018 года на срок 2 года.</w:t>
      </w:r>
    </w:p>
    <w:p w:rsidR="00D87FFE" w:rsidRPr="0098432C" w:rsidRDefault="00D87FFE" w:rsidP="00E034F8">
      <w:pPr>
        <w:pStyle w:val="ConsPlusNormal"/>
        <w:spacing w:line="276" w:lineRule="auto"/>
        <w:ind w:firstLine="709"/>
        <w:jc w:val="both"/>
        <w:rPr>
          <w:szCs w:val="24"/>
        </w:rPr>
      </w:pPr>
      <w:proofErr w:type="gramStart"/>
      <w:r w:rsidRPr="0098432C">
        <w:rPr>
          <w:szCs w:val="24"/>
        </w:rPr>
        <w:t>Общая численность работников органов местного самоуправления по состоянию на 31 декабря отчетного года 155 чел., в том числе замещающих муниципальные должности 2 чел. Общая фактическая численность муниципальных служащих 130 чел., в том числе исполняющих собственные полномочия муниципального образования 117 чел., исполняющих переданные государственные полномочия 13 чел., исполняющих полномочия иных муниципальных образований, переданные соглашениями, нет.</w:t>
      </w:r>
      <w:proofErr w:type="gramEnd"/>
    </w:p>
    <w:p w:rsidR="00D87FFE" w:rsidRPr="0098432C" w:rsidRDefault="00D87FFE" w:rsidP="00E034F8">
      <w:pPr>
        <w:pStyle w:val="ConsPlusNormal"/>
        <w:spacing w:line="276" w:lineRule="auto"/>
        <w:ind w:firstLine="709"/>
        <w:jc w:val="both"/>
        <w:rPr>
          <w:szCs w:val="24"/>
        </w:rPr>
      </w:pPr>
      <w:r w:rsidRPr="0098432C">
        <w:rPr>
          <w:szCs w:val="24"/>
        </w:rPr>
        <w:lastRenderedPageBreak/>
        <w:t>Официальное печатное издание для опубликования правовых актов органов местного самоуправления – Сосновоборская городская газета «Маяк».</w:t>
      </w:r>
    </w:p>
    <w:p w:rsidR="00D87FFE" w:rsidRPr="0098432C" w:rsidRDefault="00D87FFE" w:rsidP="00E034F8">
      <w:pPr>
        <w:pStyle w:val="ConsPlusNormal"/>
        <w:spacing w:line="276" w:lineRule="auto"/>
        <w:ind w:firstLine="709"/>
        <w:jc w:val="both"/>
        <w:rPr>
          <w:szCs w:val="24"/>
        </w:rPr>
      </w:pPr>
      <w:r w:rsidRPr="0098432C">
        <w:rPr>
          <w:szCs w:val="24"/>
        </w:rPr>
        <w:t xml:space="preserve">Официальный сайт органа местного самоуправления в сети "Интернет": </w:t>
      </w:r>
      <w:hyperlink r:id="rId5" w:history="1">
        <w:r w:rsidRPr="0098432C">
          <w:rPr>
            <w:rStyle w:val="a3"/>
            <w:szCs w:val="24"/>
          </w:rPr>
          <w:t>http://www.sbor.ru/</w:t>
        </w:r>
      </w:hyperlink>
      <w:r w:rsidRPr="0098432C">
        <w:rPr>
          <w:szCs w:val="24"/>
        </w:rPr>
        <w:t xml:space="preserve">, электронный адрес органа местного самоуправления: </w:t>
      </w:r>
      <w:hyperlink r:id="rId6" w:history="1">
        <w:r w:rsidRPr="0098432C">
          <w:rPr>
            <w:rStyle w:val="a3"/>
            <w:szCs w:val="24"/>
          </w:rPr>
          <w:t>admsb@meria.sbor.ru</w:t>
        </w:r>
      </w:hyperlink>
      <w:r w:rsidRPr="0098432C">
        <w:rPr>
          <w:szCs w:val="24"/>
        </w:rPr>
        <w:t xml:space="preserve"> </w:t>
      </w:r>
    </w:p>
    <w:p w:rsidR="00D87FFE" w:rsidRPr="0098432C" w:rsidRDefault="00D87FFE" w:rsidP="00E034F8">
      <w:pPr>
        <w:pStyle w:val="ConsPlusNormal"/>
        <w:spacing w:line="276" w:lineRule="auto"/>
        <w:jc w:val="center"/>
        <w:rPr>
          <w:b/>
          <w:sz w:val="28"/>
          <w:szCs w:val="28"/>
        </w:rPr>
      </w:pPr>
    </w:p>
    <w:p w:rsidR="00D87FFE" w:rsidRPr="0098432C" w:rsidRDefault="00D87FFE" w:rsidP="00E034F8">
      <w:pPr>
        <w:pStyle w:val="ConsPlusNormal"/>
        <w:spacing w:line="276" w:lineRule="auto"/>
        <w:jc w:val="center"/>
        <w:rPr>
          <w:b/>
          <w:sz w:val="28"/>
          <w:szCs w:val="28"/>
        </w:rPr>
      </w:pPr>
      <w:r w:rsidRPr="0098432C">
        <w:rPr>
          <w:b/>
          <w:sz w:val="28"/>
          <w:szCs w:val="28"/>
        </w:rPr>
        <w:t xml:space="preserve">Состояние муниципального образования в отчетном году, </w:t>
      </w:r>
    </w:p>
    <w:p w:rsidR="00D87FFE" w:rsidRPr="0098432C" w:rsidRDefault="00D87FFE" w:rsidP="00E034F8">
      <w:pPr>
        <w:pStyle w:val="ConsPlusNormal"/>
        <w:spacing w:line="276" w:lineRule="auto"/>
        <w:jc w:val="center"/>
        <w:rPr>
          <w:b/>
          <w:sz w:val="28"/>
          <w:szCs w:val="28"/>
        </w:rPr>
      </w:pPr>
      <w:r w:rsidRPr="0098432C">
        <w:rPr>
          <w:b/>
          <w:sz w:val="28"/>
          <w:szCs w:val="28"/>
        </w:rPr>
        <w:t xml:space="preserve">динамика развития за два года, предшествующих </w:t>
      </w:r>
      <w:proofErr w:type="gramStart"/>
      <w:r w:rsidRPr="0098432C">
        <w:rPr>
          <w:b/>
          <w:sz w:val="28"/>
          <w:szCs w:val="28"/>
        </w:rPr>
        <w:t>отчетному</w:t>
      </w:r>
      <w:proofErr w:type="gramEnd"/>
      <w:r w:rsidRPr="0098432C">
        <w:rPr>
          <w:b/>
          <w:sz w:val="28"/>
          <w:szCs w:val="28"/>
        </w:rPr>
        <w:t xml:space="preserve">, </w:t>
      </w:r>
    </w:p>
    <w:p w:rsidR="00D87FFE" w:rsidRPr="0098432C" w:rsidRDefault="00D87FFE" w:rsidP="00E034F8">
      <w:pPr>
        <w:pStyle w:val="ConsPlusNormal"/>
        <w:spacing w:line="276" w:lineRule="auto"/>
        <w:jc w:val="center"/>
        <w:rPr>
          <w:b/>
          <w:sz w:val="28"/>
          <w:szCs w:val="28"/>
        </w:rPr>
      </w:pPr>
      <w:r w:rsidRPr="0098432C">
        <w:rPr>
          <w:b/>
          <w:sz w:val="28"/>
          <w:szCs w:val="28"/>
        </w:rPr>
        <w:t>и прогноз на трехлетний период</w:t>
      </w:r>
    </w:p>
    <w:p w:rsidR="00D87FFE" w:rsidRPr="0098432C" w:rsidRDefault="00D87FFE" w:rsidP="00E034F8">
      <w:pPr>
        <w:pStyle w:val="ConsPlusNormal"/>
        <w:spacing w:line="276" w:lineRule="auto"/>
        <w:jc w:val="center"/>
        <w:rPr>
          <w:sz w:val="28"/>
          <w:szCs w:val="28"/>
        </w:rPr>
      </w:pP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val="en-US" w:eastAsia="ru-RU"/>
        </w:rPr>
        <w:t>I</w:t>
      </w:r>
      <w:r w:rsidRPr="0098432C">
        <w:rPr>
          <w:rFonts w:eastAsia="Times New Roman"/>
          <w:b/>
          <w:sz w:val="28"/>
          <w:szCs w:val="28"/>
          <w:lang w:eastAsia="ru-RU"/>
        </w:rPr>
        <w:t>. Экономическое развитие</w:t>
      </w: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eastAsia="ru-RU"/>
        </w:rPr>
        <w:t>Характеристика отрасли</w:t>
      </w:r>
    </w:p>
    <w:p w:rsidR="00D87FFE" w:rsidRPr="0098432C" w:rsidRDefault="00D87FFE" w:rsidP="00E034F8">
      <w:pPr>
        <w:spacing w:line="276" w:lineRule="auto"/>
        <w:ind w:firstLine="709"/>
        <w:contextualSpacing/>
      </w:pPr>
      <w:r w:rsidRPr="0098432C">
        <w:rPr>
          <w:b/>
        </w:rPr>
        <w:t>Оборот</w:t>
      </w:r>
      <w:r w:rsidRPr="0098432C">
        <w:t xml:space="preserve"> крупных и средних предприятий за 2018 год составил 84,6 млрд. руб., по сравнению с уровнем 2017 года наблюдается рост на 15 %.</w:t>
      </w:r>
    </w:p>
    <w:p w:rsidR="00D87FFE" w:rsidRPr="0098432C" w:rsidRDefault="00D87FFE" w:rsidP="00E034F8">
      <w:pPr>
        <w:spacing w:line="276" w:lineRule="auto"/>
        <w:ind w:firstLine="709"/>
        <w:contextualSpacing/>
      </w:pPr>
      <w:r w:rsidRPr="0098432C">
        <w:t>Динамика объема производства к уровню прошлого года в разрезе отраслей носит разнонаправленный характер: снижение отмечено в оптовой торговле – на 38,6 %, в научных исследованиях и разработках – на 29 %, в розничной торговле – на 3,4 %, рост отмечен в производстве готовых металлических изделий – в 46 раз; в строительстве – на 32,2 %, в производстве прочей неметаллической минеральной продукции – на 30,4 %, в обеспечении электрической энергией, газом и паром объем производства продукции – на 7,2 %.</w:t>
      </w:r>
    </w:p>
    <w:p w:rsidR="00D87FFE" w:rsidRPr="0098432C" w:rsidRDefault="00D87FFE" w:rsidP="00E034F8">
      <w:pPr>
        <w:spacing w:line="276" w:lineRule="auto"/>
        <w:ind w:firstLine="709"/>
      </w:pPr>
      <w:r w:rsidRPr="0098432C">
        <w:t>Выработка электроэнергии – основного вида продукции округа – в натуральном выражении увеличилась на 7,7 % к уровню предыдущего года.</w:t>
      </w:r>
    </w:p>
    <w:p w:rsidR="00D87FFE" w:rsidRPr="0098432C" w:rsidRDefault="00D87FFE" w:rsidP="00E034F8">
      <w:pPr>
        <w:spacing w:line="276" w:lineRule="auto"/>
        <w:ind w:firstLine="709"/>
      </w:pPr>
      <w:r w:rsidRPr="0098432C">
        <w:t>В структуре оборота преобладает энергетика – 48 %, на втором месте строительство – 25,3 %, на третьем месте обрабатывающие производства – 8,8 %, четвертое место розничная торговля – 5,9 %, затем научные исследования и разработки – 4,4 %.</w:t>
      </w:r>
    </w:p>
    <w:p w:rsidR="00D87FFE" w:rsidRPr="0098432C" w:rsidRDefault="00D87FFE" w:rsidP="00E034F8">
      <w:pPr>
        <w:spacing w:line="276" w:lineRule="auto"/>
        <w:ind w:firstLine="709"/>
      </w:pPr>
      <w:r w:rsidRPr="0098432C">
        <w:rPr>
          <w:b/>
          <w:bCs/>
        </w:rPr>
        <w:t xml:space="preserve">Инвестиции </w:t>
      </w:r>
      <w:r w:rsidRPr="0098432C">
        <w:t xml:space="preserve">в нефинансовые активы за 2018 год по крупным и средним организациям-инвесторам составил 38,6 млрд. руб., или 84,1 % к уровню предыдущего года. </w:t>
      </w:r>
    </w:p>
    <w:p w:rsidR="00D87FFE" w:rsidRPr="0098432C" w:rsidRDefault="00D87FFE" w:rsidP="00E034F8">
      <w:pPr>
        <w:spacing w:line="276" w:lineRule="auto"/>
        <w:ind w:firstLine="709"/>
      </w:pPr>
      <w:r w:rsidRPr="0098432C">
        <w:t>В 2018 году выполнен большой объем монтажных и пусконаладочных работ по подготовке к пуску первого энергоблока нового поколения на Ленинградской АЭС. По общему объему инвестиций Сосновоборский городской округ на протяжении ряда лет занимает лидирующие позиции в области.</w:t>
      </w:r>
    </w:p>
    <w:p w:rsidR="00D87FFE" w:rsidRPr="0098432C" w:rsidRDefault="00D87FFE" w:rsidP="00E034F8">
      <w:pPr>
        <w:spacing w:line="276" w:lineRule="auto"/>
        <w:ind w:firstLine="709"/>
      </w:pPr>
      <w:r w:rsidRPr="0098432C">
        <w:t xml:space="preserve">В общем объеме инвестиций преобладают инвестиции в </w:t>
      </w:r>
      <w:r w:rsidRPr="0098432C">
        <w:rPr>
          <w:bCs/>
        </w:rPr>
        <w:t>производственные виды</w:t>
      </w:r>
      <w:r w:rsidRPr="0098432C">
        <w:t xml:space="preserve"> деятельности (более 90 %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D87FFE" w:rsidRPr="0098432C" w:rsidRDefault="00D87FFE" w:rsidP="00E034F8">
      <w:pPr>
        <w:spacing w:line="276" w:lineRule="auto"/>
        <w:ind w:firstLine="709"/>
      </w:pPr>
      <w:r w:rsidRPr="0098432C">
        <w:t xml:space="preserve">За отчетный год в городе введено в эксплуатацию 216 квартир в многоквартирных жилых домах и 49 индивидуальных жилых домов общей площадью 21,7 тыс. кв. м., в аналогичном периоде предыдущего года </w:t>
      </w:r>
      <w:proofErr w:type="gramStart"/>
      <w:r w:rsidRPr="0098432C">
        <w:t>введены</w:t>
      </w:r>
      <w:proofErr w:type="gramEnd"/>
      <w:r w:rsidRPr="0098432C">
        <w:t xml:space="preserve"> 30 индивидуальных жилых домов общей площадью 5,4 тыс. кв. м.</w:t>
      </w:r>
    </w:p>
    <w:p w:rsidR="00D87FFE" w:rsidRPr="0098432C" w:rsidRDefault="00D87FFE" w:rsidP="00E034F8">
      <w:pPr>
        <w:spacing w:line="276" w:lineRule="auto"/>
        <w:ind w:firstLine="709"/>
      </w:pPr>
      <w:r w:rsidRPr="0098432C">
        <w:t>Перспективы привлечения инвестиций на последующий период в первую очередь связаны с продолжением работ на строительстве новых энергоблоков ЛАЭС.</w:t>
      </w:r>
    </w:p>
    <w:p w:rsidR="00D87FFE" w:rsidRPr="0098432C" w:rsidRDefault="00D87FFE" w:rsidP="00E034F8">
      <w:pPr>
        <w:spacing w:line="276" w:lineRule="auto"/>
        <w:ind w:firstLine="709"/>
      </w:pPr>
      <w:bookmarkStart w:id="1" w:name="_Toc475356648"/>
      <w:r w:rsidRPr="0098432C">
        <w:rPr>
          <w:rFonts w:eastAsia="Times New Roman"/>
          <w:b/>
        </w:rPr>
        <w:t>Малое предпринимательство</w:t>
      </w:r>
      <w:bookmarkEnd w:id="1"/>
      <w:r w:rsidRPr="0098432C">
        <w:rPr>
          <w:rFonts w:eastAsia="Times New Roman"/>
          <w:b/>
        </w:rPr>
        <w:t>.</w:t>
      </w:r>
      <w:r w:rsidRPr="0098432C">
        <w:rPr>
          <w:rFonts w:eastAsia="Times New Roman"/>
        </w:rPr>
        <w:t xml:space="preserve"> </w:t>
      </w:r>
      <w:r w:rsidRPr="0098432C">
        <w:t xml:space="preserve">По данным Генеральной совокупности Петростата на территории Сосновоборского городского округа количество зарегистрированных средних, малых и микропредприятий на 01.01.2018 составило 712 единиц, в том числе: 18 средних, 60 </w:t>
      </w:r>
      <w:r w:rsidRPr="0098432C">
        <w:lastRenderedPageBreak/>
        <w:t xml:space="preserve">малых предприятий, 634 микропредприятий. </w:t>
      </w:r>
      <w:r w:rsidRPr="0098432C">
        <w:rPr>
          <w:noProof/>
          <w:lang w:eastAsia="ru-RU"/>
        </w:rPr>
        <w:t>К</w:t>
      </w:r>
      <w:proofErr w:type="spellStart"/>
      <w:r w:rsidRPr="0098432C">
        <w:t>оличество</w:t>
      </w:r>
      <w:proofErr w:type="spellEnd"/>
      <w:r w:rsidRPr="0098432C">
        <w:t xml:space="preserve"> индивидуальных предпринимателей без образования юридического лица составило 1517</w:t>
      </w:r>
      <w:r w:rsidRPr="0098432C">
        <w:rPr>
          <w:lang w:val="en-US"/>
        </w:rPr>
        <w:t> </w:t>
      </w:r>
      <w:r w:rsidRPr="0098432C">
        <w:t>единиц.</w:t>
      </w:r>
    </w:p>
    <w:p w:rsidR="00D87FFE" w:rsidRPr="0098432C" w:rsidRDefault="00D87FFE" w:rsidP="00E034F8">
      <w:pPr>
        <w:spacing w:line="276" w:lineRule="auto"/>
        <w:ind w:firstLine="709"/>
      </w:pPr>
      <w:r w:rsidRPr="0098432C">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2017 году, в 2017 году произошло увеличение средней численности работников на 10,8 % и среднесписочной численности на 10,3 % (3464 чел. и 3102 чел. соответственно). Фонд заработной платы работников списочного состава увеличился на 18,6 % и составил 1137,7 млн. руб. Среднемесячная заработная плата работников списочного состава на 01.01.2018г. составила 30564,2 руб. (увеличение на 7,5 % к аналогичному периоду 2016 года).</w:t>
      </w:r>
    </w:p>
    <w:p w:rsidR="00D87FFE" w:rsidRPr="0098432C" w:rsidRDefault="00D87FFE" w:rsidP="00E034F8">
      <w:pPr>
        <w:spacing w:line="276" w:lineRule="auto"/>
        <w:ind w:firstLine="709"/>
      </w:pPr>
      <w:r w:rsidRPr="0098432C">
        <w:t>Обороты анализируемых средних, малых и микропредприятий в 2017 году увеличились на 5,1 % и составили 7468 млн. рублей. Доля оборота анализируемых средних, малых и микропредприятий в общем обороте крупных, средних, малых и микропредприятий составила 9,8 %, что выше уровня аналогичного периода 2016 года на 2,3 %. Объем инвестиций значительно увеличился и составил 263,9 млн. рублей (увеличение в 3,2 раза к уровню аналогичного периода 2016 года).</w:t>
      </w:r>
    </w:p>
    <w:p w:rsidR="00D87FFE" w:rsidRPr="0098432C" w:rsidRDefault="00D87FFE" w:rsidP="00E034F8">
      <w:pPr>
        <w:pStyle w:val="af2"/>
        <w:spacing w:after="0" w:line="276" w:lineRule="auto"/>
        <w:ind w:firstLine="709"/>
        <w:jc w:val="both"/>
        <w:rPr>
          <w:sz w:val="24"/>
          <w:szCs w:val="24"/>
        </w:rPr>
      </w:pPr>
      <w:r w:rsidRPr="0098432C">
        <w:rPr>
          <w:b/>
          <w:sz w:val="24"/>
          <w:szCs w:val="24"/>
        </w:rPr>
        <w:t xml:space="preserve">Среднесписочная численность </w:t>
      </w:r>
      <w:r w:rsidRPr="0098432C">
        <w:rPr>
          <w:sz w:val="24"/>
          <w:szCs w:val="24"/>
        </w:rPr>
        <w:t>работников крупных и средних организаций Сосновоборского городского округа за 2018 год составила 24288 человек и уменьшилась по сравнению с аналогичным периодом предыдущего года на 4,9 %. Кроме того, для работы в этих организациях привлекались на условиях совместительства и по договорам гражданско-правового характера 566 человек.</w:t>
      </w:r>
    </w:p>
    <w:p w:rsidR="00D87FFE" w:rsidRPr="0098432C" w:rsidRDefault="00D87FFE" w:rsidP="00E034F8">
      <w:pPr>
        <w:spacing w:line="276" w:lineRule="auto"/>
        <w:ind w:firstLine="709"/>
      </w:pPr>
      <w:proofErr w:type="gramStart"/>
      <w:r w:rsidRPr="0098432C">
        <w:t>Выросла численность работающих к аналогичному периоду предыдущего года в обрабатывающих производствах в 1,9 раза, в обеспечении электрической энергией, газом и паром – на 0,5 %.</w:t>
      </w:r>
      <w:proofErr w:type="gramEnd"/>
    </w:p>
    <w:p w:rsidR="00D87FFE" w:rsidRPr="0098432C" w:rsidRDefault="00D87FFE" w:rsidP="00E034F8">
      <w:pPr>
        <w:spacing w:line="276" w:lineRule="auto"/>
        <w:ind w:firstLine="709"/>
      </w:pPr>
      <w:r w:rsidRPr="0098432C">
        <w:t xml:space="preserve">Снизилось число работников в строительстве – на 23,8 %, в транспортировке и хранении – на 32,2 %, в области здравоохранения и социальных услуг – на 5,4 %.  </w:t>
      </w:r>
    </w:p>
    <w:p w:rsidR="00D87FFE" w:rsidRPr="0098432C" w:rsidRDefault="00D87FFE" w:rsidP="00E034F8">
      <w:pPr>
        <w:spacing w:line="276" w:lineRule="auto"/>
        <w:ind w:firstLine="709"/>
      </w:pPr>
      <w:r w:rsidRPr="0098432C">
        <w:rPr>
          <w:b/>
        </w:rPr>
        <w:t>Среднемесячная номинальная заработная плата</w:t>
      </w:r>
      <w:r w:rsidRPr="0098432C">
        <w:t xml:space="preserve"> работников списочного состава крупных и средних организаций округа за 2018 год выросла на 9,0 % по сравнению с аналогичным периодом предыдущего года и составила 66674 рубля. </w:t>
      </w:r>
    </w:p>
    <w:p w:rsidR="00D87FFE" w:rsidRPr="0098432C" w:rsidRDefault="00D87FFE" w:rsidP="00E034F8">
      <w:pPr>
        <w:spacing w:line="276" w:lineRule="auto"/>
        <w:ind w:firstLine="709"/>
      </w:pPr>
      <w:r w:rsidRPr="0098432C">
        <w:t>Наибольший рост номинальной заработной платы к аналогичному периоду предыдущего года произошел в области здравоохранения и социальных услуг – на 40,2 %, в области культуры, спорта, организации досуга и развлечений – на 29,8 %, в строительстве – на 15,8 %.</w:t>
      </w:r>
    </w:p>
    <w:p w:rsidR="00D87FFE" w:rsidRPr="0098432C" w:rsidRDefault="00D87FFE" w:rsidP="00E034F8">
      <w:pPr>
        <w:spacing w:line="276" w:lineRule="auto"/>
        <w:ind w:firstLine="709"/>
      </w:pPr>
      <w:r w:rsidRPr="0098432C">
        <w:t>Снизилась заработная плата в деятельности по операциям с недвижимым имуществом – на 0,8 %.</w:t>
      </w:r>
    </w:p>
    <w:p w:rsidR="00D87FFE" w:rsidRPr="0098432C" w:rsidRDefault="00D87FFE" w:rsidP="00E034F8">
      <w:pPr>
        <w:spacing w:line="276" w:lineRule="auto"/>
        <w:ind w:firstLine="709"/>
      </w:pPr>
      <w:r w:rsidRPr="0098432C">
        <w:t xml:space="preserve">Сохраняется значительная дифференциация </w:t>
      </w:r>
      <w:proofErr w:type="gramStart"/>
      <w:r w:rsidRPr="0098432C">
        <w:t>уровня оплаты труда работников различных видов экономической деятельности</w:t>
      </w:r>
      <w:proofErr w:type="gramEnd"/>
      <w:r w:rsidRPr="0098432C">
        <w:t>.</w:t>
      </w:r>
    </w:p>
    <w:p w:rsidR="00D87FFE" w:rsidRPr="0098432C" w:rsidRDefault="00D87FFE" w:rsidP="00E034F8">
      <w:pPr>
        <w:spacing w:line="276" w:lineRule="auto"/>
        <w:ind w:firstLine="709"/>
      </w:pPr>
      <w:r w:rsidRPr="0098432C">
        <w:t>Самая высокая средняя заработная плата в обеспечении электрической энергией, газом и паром – 86741 руб., в деятельности профессиональной научной и технической – 78823 руб., она выше среднего уровня по городу на 30,1 и 18,2 % соответственно.</w:t>
      </w:r>
    </w:p>
    <w:p w:rsidR="00D87FFE" w:rsidRPr="0098432C" w:rsidRDefault="00D87FFE" w:rsidP="00E034F8">
      <w:pPr>
        <w:spacing w:line="276" w:lineRule="auto"/>
        <w:ind w:firstLine="709"/>
      </w:pPr>
      <w:r w:rsidRPr="0098432C">
        <w:t>Самая низкая заработная плата в транспортировке и хранении – 28230 руб., в сельском, лесном хозяйстве, охоте, рыболовстве и рыбоводстве – 30881 руб., она составляет к среднему уровню по городскому округу 42,3 и 46,3 % соответственно.</w:t>
      </w:r>
    </w:p>
    <w:p w:rsidR="00D87FFE" w:rsidRPr="0098432C" w:rsidRDefault="00D87FFE" w:rsidP="00E034F8">
      <w:pPr>
        <w:spacing w:line="276" w:lineRule="auto"/>
        <w:ind w:firstLine="709"/>
      </w:pPr>
      <w:r w:rsidRPr="0098432C">
        <w:t>По состоянию на 1 января 2019 года по данным статистики просроченная задолженность по заработной плате составляет 196 тыс. руб.</w:t>
      </w:r>
    </w:p>
    <w:p w:rsidR="00D87FFE" w:rsidRPr="0098432C" w:rsidRDefault="00D87FFE" w:rsidP="00E034F8">
      <w:pPr>
        <w:spacing w:line="276" w:lineRule="auto"/>
        <w:jc w:val="center"/>
        <w:rPr>
          <w:rFonts w:eastAsia="Times New Roman"/>
          <w:b/>
          <w:bCs/>
          <w:lang w:eastAsia="ru-RU"/>
        </w:rPr>
      </w:pPr>
    </w:p>
    <w:p w:rsidR="00D87FFE" w:rsidRPr="0098432C" w:rsidRDefault="00D87FFE" w:rsidP="00E034F8">
      <w:pPr>
        <w:spacing w:after="120" w:line="276" w:lineRule="auto"/>
        <w:jc w:val="center"/>
        <w:rPr>
          <w:rFonts w:eastAsia="Times New Roman"/>
          <w:b/>
          <w:bCs/>
          <w:sz w:val="28"/>
          <w:szCs w:val="28"/>
          <w:lang w:eastAsia="ru-RU"/>
        </w:rPr>
      </w:pPr>
      <w:r w:rsidRPr="0098432C">
        <w:rPr>
          <w:rFonts w:eastAsia="Times New Roman"/>
          <w:b/>
          <w:bCs/>
          <w:sz w:val="28"/>
          <w:szCs w:val="28"/>
          <w:lang w:eastAsia="ru-RU"/>
        </w:rPr>
        <w:lastRenderedPageBreak/>
        <w:t>Показатели</w:t>
      </w:r>
    </w:p>
    <w:p w:rsidR="00D87FFE" w:rsidRPr="0098432C" w:rsidRDefault="00D87FFE" w:rsidP="00526417">
      <w:pPr>
        <w:spacing w:line="276" w:lineRule="auto"/>
        <w:ind w:firstLine="708"/>
        <w:rPr>
          <w:rFonts w:eastAsia="Times New Roman"/>
          <w:b/>
          <w:lang w:eastAsia="ru-RU"/>
        </w:rPr>
      </w:pPr>
      <w:r w:rsidRPr="0098432C">
        <w:rPr>
          <w:rFonts w:eastAsia="Times New Roman"/>
          <w:b/>
          <w:lang w:eastAsia="ru-RU"/>
        </w:rPr>
        <w:t>Показатель 1. Число субъектов малого и среднего предпринимательства в расчете на 10 тыс. человек населения:</w:t>
      </w:r>
    </w:p>
    <w:p w:rsidR="00526417" w:rsidRPr="0098432C" w:rsidRDefault="00526417" w:rsidP="00526417">
      <w:pPr>
        <w:spacing w:line="276" w:lineRule="auto"/>
        <w:ind w:firstLine="708"/>
        <w:rPr>
          <w:rFonts w:eastAsia="Times New Roman"/>
          <w:b/>
          <w:lang w:eastAsia="ru-RU"/>
        </w:rPr>
      </w:pPr>
      <w:r w:rsidRPr="0098432C">
        <w:t>В 2018 году, по официальным данным Федеральной налоговой службы и Петростата, показатель составил</w:t>
      </w:r>
      <w:r>
        <w:t xml:space="preserve"> 284,4</w:t>
      </w:r>
      <w:r w:rsidRPr="0098432C">
        <w:t> единицы</w:t>
      </w:r>
      <w:r>
        <w:t>, что значительно выше уровня 2017 года (231,9 ед.) и 2016 года (196,8 ед.).</w:t>
      </w:r>
    </w:p>
    <w:p w:rsidR="00526417" w:rsidRPr="0098432C" w:rsidRDefault="00526417" w:rsidP="00526417">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526417" w:rsidRDefault="00526417" w:rsidP="00526417">
      <w:pPr>
        <w:spacing w:line="276" w:lineRule="auto"/>
        <w:ind w:firstLine="708"/>
      </w:pPr>
      <w:r>
        <w:t>В 2019 году значение показателя составит 295 единиц, в 2020 году – 305</w:t>
      </w:r>
      <w:r w:rsidRPr="0098432C">
        <w:t xml:space="preserve"> единиц, в 2021 году –</w:t>
      </w:r>
      <w:r>
        <w:t xml:space="preserve"> 315 единиц</w:t>
      </w:r>
      <w:r w:rsidRPr="0098432C">
        <w:t>.</w:t>
      </w:r>
    </w:p>
    <w:p w:rsidR="00526417" w:rsidRDefault="00526417" w:rsidP="00526417">
      <w:pPr>
        <w:spacing w:line="276" w:lineRule="auto"/>
        <w:ind w:firstLine="708"/>
      </w:pPr>
      <w:r>
        <w:t>Прогноз значений показателя</w:t>
      </w:r>
      <w:r w:rsidRPr="00253140">
        <w:t xml:space="preserve"> до 2021 года представлен комитетом по</w:t>
      </w:r>
      <w:r w:rsidRPr="005829E8">
        <w:t xml:space="preserve"> развитию малого, среднего бизнеса и потребительского рынка Ленинградской области </w:t>
      </w:r>
      <w:r>
        <w:t>(информационное письмо</w:t>
      </w:r>
      <w:r w:rsidRPr="005829E8">
        <w:t xml:space="preserve"> от 16.04.2019 № 18-1-1405/2019</w:t>
      </w:r>
      <w:r>
        <w:t>).</w:t>
      </w:r>
    </w:p>
    <w:p w:rsidR="00D87FFE" w:rsidRPr="0098432C" w:rsidRDefault="00D87FFE" w:rsidP="00526417">
      <w:pPr>
        <w:spacing w:line="276" w:lineRule="auto"/>
        <w:ind w:firstLine="708"/>
        <w:rPr>
          <w:rFonts w:eastAsia="Times New Roman"/>
          <w:lang w:eastAsia="ru-RU"/>
        </w:rPr>
      </w:pPr>
    </w:p>
    <w:p w:rsidR="00D87FFE" w:rsidRPr="0098432C" w:rsidRDefault="00D87FFE" w:rsidP="00526417">
      <w:pPr>
        <w:spacing w:line="276" w:lineRule="auto"/>
        <w:ind w:firstLine="708"/>
        <w:rPr>
          <w:rFonts w:eastAsia="Times New Roman"/>
          <w:b/>
          <w:lang w:eastAsia="ru-RU"/>
        </w:rPr>
      </w:pPr>
      <w:r w:rsidRPr="0098432C">
        <w:rPr>
          <w:rFonts w:eastAsia="Times New Roman"/>
          <w:b/>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26417" w:rsidRPr="0098432C" w:rsidRDefault="00526417" w:rsidP="00526417">
      <w:pPr>
        <w:spacing w:line="276" w:lineRule="auto"/>
        <w:ind w:firstLine="708"/>
        <w:rPr>
          <w:rFonts w:eastAsia="Times New Roman"/>
          <w:b/>
          <w:lang w:eastAsia="ru-RU"/>
        </w:rPr>
      </w:pPr>
      <w:r w:rsidRPr="0098432C">
        <w:t xml:space="preserve">В 2018 году, по официальным данным Федеральной налоговой службы и Петростата, </w:t>
      </w:r>
      <w:proofErr w:type="gramStart"/>
      <w:r w:rsidRPr="0098432C">
        <w:t>используемых</w:t>
      </w:r>
      <w:proofErr w:type="gramEnd"/>
      <w:r w:rsidRPr="0098432C">
        <w:t xml:space="preserve"> в расчете, показатель составил</w:t>
      </w:r>
      <w:r>
        <w:t xml:space="preserve"> 22,1 %, что выше уровня 2017 года (20,9 %) и 2016 года (21,1 %)</w:t>
      </w:r>
      <w:r w:rsidRPr="0098432C">
        <w:t xml:space="preserve">. </w:t>
      </w:r>
    </w:p>
    <w:p w:rsidR="00526417" w:rsidRPr="0098432C" w:rsidRDefault="00526417" w:rsidP="00526417">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526417" w:rsidRPr="0098432C" w:rsidRDefault="00526417" w:rsidP="00526417">
      <w:pPr>
        <w:spacing w:line="276" w:lineRule="auto"/>
        <w:ind w:firstLine="708"/>
      </w:pPr>
      <w:r>
        <w:t>В 2019 году значение показателя составит 22,3 %, в 2020 году – 22,4 %, в 2021 году – 22,5</w:t>
      </w:r>
      <w:r w:rsidRPr="0098432C">
        <w:t xml:space="preserve"> %.</w:t>
      </w:r>
    </w:p>
    <w:p w:rsidR="00526417" w:rsidRDefault="00526417" w:rsidP="00526417">
      <w:pPr>
        <w:spacing w:line="276" w:lineRule="auto"/>
        <w:ind w:firstLine="708"/>
      </w:pPr>
      <w:r>
        <w:t>Прогноз значений показателя</w:t>
      </w:r>
      <w:r w:rsidRPr="00253140">
        <w:t xml:space="preserve"> до 2021 года представлен комитетом по</w:t>
      </w:r>
      <w:r w:rsidRPr="005829E8">
        <w:t xml:space="preserve"> развитию малого, среднего бизнеса и потребительского рынка Ленинградской области </w:t>
      </w:r>
      <w:r>
        <w:t>(информационное письмо</w:t>
      </w:r>
      <w:r w:rsidRPr="005829E8">
        <w:t xml:space="preserve"> от 16.04.2019 № 18-1-1405/2019</w:t>
      </w:r>
      <w:r>
        <w:t>).</w:t>
      </w:r>
    </w:p>
    <w:p w:rsidR="00D87FFE" w:rsidRPr="0098432C" w:rsidRDefault="00D87FFE" w:rsidP="00526417">
      <w:pPr>
        <w:spacing w:line="276" w:lineRule="auto"/>
        <w:ind w:firstLine="708"/>
        <w:rPr>
          <w:rFonts w:eastAsia="Times New Roman"/>
          <w:lang w:eastAsia="ru-RU"/>
        </w:rPr>
      </w:pPr>
    </w:p>
    <w:p w:rsidR="00D87FFE" w:rsidRPr="0098432C" w:rsidRDefault="00D87FFE" w:rsidP="00526417">
      <w:pPr>
        <w:spacing w:line="276" w:lineRule="auto"/>
        <w:ind w:firstLine="708"/>
        <w:rPr>
          <w:rFonts w:eastAsia="Times New Roman"/>
          <w:b/>
          <w:lang w:eastAsia="ru-RU"/>
        </w:rPr>
      </w:pPr>
      <w:r w:rsidRPr="0098432C">
        <w:rPr>
          <w:rFonts w:eastAsia="Times New Roman"/>
          <w:b/>
          <w:lang w:eastAsia="ru-RU"/>
        </w:rPr>
        <w:t>Показатель 3. Объем инвестиций в основной капитал (за исключением бюджетных средств) в расчете на 1 жителя.</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Фактическое значение показателя составило:</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2016 году – 652227 руб., что составляет 118,3 %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2017 году – 659674 руб., что составляет 101,1 %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2018 году – 553932 руб., что составляет  84,0 %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Снижение показателя в 2018 году связано с тем, что строительство первой очереди Ленинградской АЭС-2 завершается, а решение о строительстве второй очереди ЛАЭС-2 пока не принято. Объем финансирования строительства ЛАЭС-2 оказывает определяющее воздействие на динамику данного показателя, поскольку он многократно превышает объем финансирования всех остальных инвестиционных проектов округа.</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Следует отметить, что, несмотря на снижение в 2018 году, округ по прежнему занимает первое место в области по данному показателю.</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2019 году – 484898 руб., что составляет 87,5 %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2020 году – 364036 руб., что составляет 75,1 %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2021 году – 169859 руб., что составляет 46,7 % к предыдущему году.</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Прогнозируемые значения показателя определены исходя из прогнозируемых темпов роста инвестиций в основной капитал по Сосновоборскому городскому округу на 2019-2021 </w:t>
      </w:r>
      <w:r w:rsidRPr="0098432C">
        <w:rPr>
          <w:rFonts w:eastAsia="Times New Roman"/>
          <w:lang w:eastAsia="ru-RU"/>
        </w:rPr>
        <w:lastRenderedPageBreak/>
        <w:t>годы, рассчитанных по данным, представленным основными предприятиями – инвесторами и скорректированных на темп роста численности населения округа.</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line="276" w:lineRule="auto"/>
        <w:ind w:firstLine="708"/>
        <w:rPr>
          <w:rFonts w:eastAsia="Times New Roman"/>
          <w:b/>
          <w:bCs/>
          <w:lang w:eastAsia="ru-RU"/>
        </w:rPr>
      </w:pPr>
      <w:r w:rsidRPr="0098432C">
        <w:rPr>
          <w:rFonts w:eastAsia="Times New Roman"/>
          <w:b/>
          <w:bCs/>
          <w:lang w:eastAsia="ru-RU"/>
        </w:rPr>
        <w:t>Показатель 4.</w:t>
      </w:r>
      <w:r w:rsidRPr="0098432C">
        <w:rPr>
          <w:rFonts w:eastAsia="Times New Roman"/>
          <w:bCs/>
          <w:lang w:eastAsia="ru-RU"/>
        </w:rPr>
        <w:t xml:space="preserve"> </w:t>
      </w:r>
      <w:r w:rsidRPr="0098432C">
        <w:rPr>
          <w:rFonts w:eastAsia="Times New Roman"/>
          <w:b/>
          <w:bCs/>
          <w:lang w:eastAsia="ru-RU"/>
        </w:rPr>
        <w:t>Доля площади земельных участков, являющихся объектами налогообложения земельным налогом, в общей площади территории городского округа.</w:t>
      </w:r>
    </w:p>
    <w:p w:rsidR="00D87FFE" w:rsidRPr="0098432C" w:rsidRDefault="00D87FFE" w:rsidP="00E034F8">
      <w:pPr>
        <w:spacing w:line="276" w:lineRule="auto"/>
        <w:ind w:firstLine="708"/>
        <w:rPr>
          <w:bCs/>
        </w:rPr>
      </w:pPr>
      <w:r w:rsidRPr="0098432C">
        <w:t>Фактическое значение показателя за 2018 год составило 55,4 %, что немного выше уровня 2017 года – 55,2 %. Рост показателя закономерен в связи с передачей земельных участков в собственность граждан и юридических лиц.</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pPr>
      <w:r w:rsidRPr="0098432C">
        <w:t xml:space="preserve">В 2019-2021 годах значения показателя планируются с ежегодным ростом и составят: </w:t>
      </w:r>
    </w:p>
    <w:p w:rsidR="00D87FFE" w:rsidRPr="0098432C" w:rsidRDefault="00D87FFE" w:rsidP="00E034F8">
      <w:pPr>
        <w:spacing w:line="276" w:lineRule="auto"/>
        <w:ind w:firstLine="708"/>
        <w:rPr>
          <w:bCs/>
        </w:rPr>
      </w:pPr>
      <w:r w:rsidRPr="0098432C">
        <w:t>в 2019 году – 55,6 %, в 2020 году – 55,8 %, в 2021 году – 56,0 %.</w:t>
      </w:r>
    </w:p>
    <w:p w:rsidR="00D87FFE" w:rsidRPr="0098432C" w:rsidRDefault="00D87FFE" w:rsidP="00E034F8">
      <w:pPr>
        <w:spacing w:line="276" w:lineRule="auto"/>
        <w:ind w:firstLine="708"/>
        <w:rPr>
          <w:bCs/>
        </w:rPr>
      </w:pPr>
    </w:p>
    <w:p w:rsidR="00D87FFE" w:rsidRPr="0098432C" w:rsidRDefault="00D87FFE" w:rsidP="00E034F8">
      <w:pPr>
        <w:spacing w:line="276" w:lineRule="auto"/>
        <w:ind w:firstLine="708"/>
        <w:rPr>
          <w:rFonts w:eastAsia="Times New Roman"/>
          <w:bCs/>
          <w:lang w:eastAsia="ru-RU"/>
        </w:rPr>
      </w:pPr>
      <w:r w:rsidRPr="0098432C">
        <w:rPr>
          <w:rFonts w:eastAsia="Times New Roman"/>
          <w:b/>
          <w:bCs/>
          <w:lang w:eastAsia="ru-RU"/>
        </w:rPr>
        <w:t>Показатель 5.</w:t>
      </w:r>
      <w:r w:rsidRPr="0098432C">
        <w:rPr>
          <w:rFonts w:eastAsia="Times New Roman"/>
          <w:bCs/>
          <w:lang w:eastAsia="ru-RU"/>
        </w:rPr>
        <w:t xml:space="preserve"> </w:t>
      </w:r>
      <w:r w:rsidRPr="0098432C">
        <w:rPr>
          <w:rFonts w:eastAsia="Times New Roman"/>
          <w:b/>
          <w:bCs/>
          <w:lang w:eastAsia="ru-RU"/>
        </w:rPr>
        <w:t xml:space="preserve">Доля прибыльных сельскохозяйственных </w:t>
      </w:r>
      <w:proofErr w:type="gramStart"/>
      <w:r w:rsidRPr="0098432C">
        <w:rPr>
          <w:rFonts w:eastAsia="Times New Roman"/>
          <w:b/>
          <w:bCs/>
          <w:lang w:eastAsia="ru-RU"/>
        </w:rPr>
        <w:t>организаций</w:t>
      </w:r>
      <w:proofErr w:type="gramEnd"/>
      <w:r w:rsidRPr="0098432C">
        <w:rPr>
          <w:rFonts w:eastAsia="Times New Roman"/>
          <w:b/>
          <w:bCs/>
          <w:lang w:eastAsia="ru-RU"/>
        </w:rPr>
        <w:t xml:space="preserve"> в общем их числе</w:t>
      </w:r>
      <w:r w:rsidRPr="0098432C">
        <w:rPr>
          <w:rFonts w:eastAsia="Times New Roman"/>
          <w:bCs/>
          <w:lang w:eastAsia="ru-RU"/>
        </w:rPr>
        <w:t>:</w:t>
      </w:r>
    </w:p>
    <w:p w:rsidR="00D87FFE" w:rsidRPr="0098432C" w:rsidRDefault="00D87FFE" w:rsidP="00E034F8">
      <w:pPr>
        <w:spacing w:line="276" w:lineRule="auto"/>
        <w:ind w:firstLine="708"/>
        <w:rPr>
          <w:bCs/>
        </w:rPr>
      </w:pPr>
      <w:r w:rsidRPr="0098432C">
        <w:t xml:space="preserve">Доля прибыльных сельскохозяйственных </w:t>
      </w:r>
      <w:proofErr w:type="gramStart"/>
      <w:r w:rsidRPr="0098432C">
        <w:t>организаций</w:t>
      </w:r>
      <w:proofErr w:type="gramEnd"/>
      <w:r w:rsidRPr="0098432C">
        <w:t xml:space="preserve"> в общем их числе в 2016-2018 годах</w:t>
      </w:r>
      <w:r w:rsidRPr="0098432C">
        <w:rPr>
          <w:b/>
        </w:rPr>
        <w:t xml:space="preserve"> </w:t>
      </w:r>
      <w:r w:rsidRPr="0098432C">
        <w:rPr>
          <w:bCs/>
        </w:rPr>
        <w:t>составляет 0 %.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pPr>
      <w:r w:rsidRPr="0098432C">
        <w:t xml:space="preserve">Доля прибыльных сельскохозяйственных </w:t>
      </w:r>
      <w:proofErr w:type="gramStart"/>
      <w:r w:rsidRPr="0098432C">
        <w:t>организаций</w:t>
      </w:r>
      <w:proofErr w:type="gramEnd"/>
      <w:r w:rsidRPr="0098432C">
        <w:t xml:space="preserve"> в общем их числе в 2019-2021 годах предполагается в размере 100 %.</w:t>
      </w:r>
    </w:p>
    <w:p w:rsidR="00D87FFE" w:rsidRPr="0098432C" w:rsidRDefault="00D87FFE" w:rsidP="00E034F8">
      <w:pPr>
        <w:spacing w:line="276" w:lineRule="auto"/>
        <w:ind w:firstLine="708"/>
        <w:rPr>
          <w:bCs/>
        </w:rPr>
      </w:pPr>
    </w:p>
    <w:p w:rsidR="00D87FFE" w:rsidRPr="0098432C" w:rsidRDefault="00D87FFE" w:rsidP="00E034F8">
      <w:pPr>
        <w:spacing w:line="276" w:lineRule="auto"/>
        <w:ind w:firstLine="708"/>
        <w:rPr>
          <w:rFonts w:eastAsia="Times New Roman"/>
          <w:bCs/>
          <w:lang w:eastAsia="ru-RU" w:bidi="en-US"/>
        </w:rPr>
      </w:pPr>
      <w:r w:rsidRPr="0098432C">
        <w:rPr>
          <w:rFonts w:eastAsia="Times New Roman"/>
          <w:b/>
          <w:bCs/>
          <w:lang w:eastAsia="ru-RU" w:bidi="en-US"/>
        </w:rPr>
        <w:t>Показатель 6.</w:t>
      </w:r>
      <w:r w:rsidRPr="0098432C">
        <w:rPr>
          <w:rFonts w:eastAsia="Times New Roman"/>
          <w:bCs/>
          <w:lang w:eastAsia="ru-RU" w:bidi="en-US"/>
        </w:rPr>
        <w:t xml:space="preserve"> </w:t>
      </w:r>
      <w:r w:rsidRPr="0098432C">
        <w:rPr>
          <w:rFonts w:eastAsia="Times New Roman"/>
          <w:b/>
          <w:bCs/>
          <w:lang w:eastAsia="ru-RU" w:bidi="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98432C">
        <w:rPr>
          <w:rFonts w:eastAsia="Times New Roman"/>
          <w:bCs/>
          <w:lang w:eastAsia="ru-RU" w:bidi="en-US"/>
        </w:rPr>
        <w:t>.</w:t>
      </w:r>
    </w:p>
    <w:p w:rsidR="00D87FFE" w:rsidRPr="0098432C" w:rsidRDefault="00D87FFE" w:rsidP="00E034F8">
      <w:pPr>
        <w:spacing w:line="276" w:lineRule="auto"/>
        <w:ind w:firstLine="708"/>
        <w:rPr>
          <w:rFonts w:eastAsia="Times New Roman"/>
          <w:bCs/>
          <w:lang w:eastAsia="ru-RU" w:bidi="en-US"/>
        </w:rPr>
      </w:pPr>
      <w:r w:rsidRPr="0098432C">
        <w:rPr>
          <w:rFonts w:eastAsia="Times New Roman"/>
          <w:lang w:bidi="en-US"/>
        </w:rPr>
        <w:t>За 2018 год фактическое значение показателя составило 69,9 %, что выше уровня 2016 и 2017 года (15,5 %). Увеличение данного показателя связано с несколькими факторами:</w:t>
      </w:r>
    </w:p>
    <w:p w:rsidR="00D87FFE" w:rsidRPr="0098432C" w:rsidRDefault="00D87FFE" w:rsidP="00E034F8">
      <w:pPr>
        <w:spacing w:line="276" w:lineRule="auto"/>
        <w:ind w:firstLine="708"/>
        <w:rPr>
          <w:rFonts w:eastAsia="Times New Roman"/>
          <w:bCs/>
          <w:lang w:eastAsia="ru-RU" w:bidi="en-US"/>
        </w:rPr>
      </w:pPr>
      <w:r w:rsidRPr="0098432C">
        <w:rPr>
          <w:rFonts w:eastAsia="Times New Roman"/>
          <w:bCs/>
          <w:lang w:eastAsia="ru-RU" w:bidi="en-US"/>
        </w:rPr>
        <w:t xml:space="preserve">1) </w:t>
      </w:r>
      <w:r w:rsidRPr="0098432C">
        <w:rPr>
          <w:lang w:bidi="en-US"/>
        </w:rPr>
        <w:t>недостаточный объем ремонта дорог из-за отсутствия необходимых средств в местном бюджете;</w:t>
      </w:r>
    </w:p>
    <w:p w:rsidR="00D87FFE" w:rsidRPr="0098432C" w:rsidRDefault="00D87FFE" w:rsidP="00E034F8">
      <w:pPr>
        <w:spacing w:line="276" w:lineRule="auto"/>
        <w:ind w:firstLine="708"/>
        <w:rPr>
          <w:rFonts w:eastAsia="Times New Roman"/>
          <w:bCs/>
          <w:lang w:eastAsia="ru-RU" w:bidi="en-US"/>
        </w:rPr>
      </w:pPr>
      <w:proofErr w:type="gramStart"/>
      <w:r w:rsidRPr="0098432C">
        <w:rPr>
          <w:rFonts w:eastAsia="Times New Roman"/>
          <w:bCs/>
          <w:lang w:eastAsia="ru-RU" w:bidi="en-US"/>
        </w:rPr>
        <w:t xml:space="preserve">2) </w:t>
      </w:r>
      <w:r w:rsidRPr="0098432C">
        <w:rPr>
          <w:lang w:bidi="en-US"/>
        </w:rPr>
        <w:t>передача в 2018 году в собственность Ленинградской области автомобильной дороги "</w:t>
      </w:r>
      <w:proofErr w:type="spellStart"/>
      <w:r w:rsidRPr="0098432C">
        <w:rPr>
          <w:lang w:bidi="en-US"/>
        </w:rPr>
        <w:t>Ракопежское</w:t>
      </w:r>
      <w:proofErr w:type="spellEnd"/>
      <w:r w:rsidRPr="0098432C">
        <w:rPr>
          <w:lang w:bidi="en-US"/>
        </w:rPr>
        <w:t xml:space="preserve"> шоссе" (вошла в состав автомобильной дороги "Сосновый Бор - </w:t>
      </w:r>
      <w:proofErr w:type="spellStart"/>
      <w:r w:rsidRPr="0098432C">
        <w:rPr>
          <w:lang w:bidi="en-US"/>
        </w:rPr>
        <w:t>Глобицы</w:t>
      </w:r>
      <w:proofErr w:type="spellEnd"/>
      <w:r w:rsidRPr="0098432C">
        <w:rPr>
          <w:lang w:bidi="en-US"/>
        </w:rPr>
        <w:t>") протяженностью 3,6 км, что привело к уменьшению общей протяженности автомобильных дорог общего пользования местного значения в Сосновоборском городском округе до 50,5 км (при этом в ненормативном состоянии находится ориентировочно 35,3 км автомобильных дорог местного значения);</w:t>
      </w:r>
      <w:proofErr w:type="gramEnd"/>
    </w:p>
    <w:p w:rsidR="00D87FFE" w:rsidRPr="0098432C" w:rsidRDefault="00D87FFE" w:rsidP="00E034F8">
      <w:pPr>
        <w:spacing w:line="276" w:lineRule="auto"/>
        <w:ind w:firstLine="708"/>
        <w:rPr>
          <w:rFonts w:eastAsia="Times New Roman"/>
          <w:bCs/>
          <w:lang w:eastAsia="ru-RU" w:bidi="en-US"/>
        </w:rPr>
      </w:pPr>
      <w:r w:rsidRPr="0098432C">
        <w:rPr>
          <w:rFonts w:eastAsia="Times New Roman"/>
          <w:bCs/>
          <w:lang w:eastAsia="ru-RU" w:bidi="en-US"/>
        </w:rPr>
        <w:t xml:space="preserve">3) </w:t>
      </w:r>
      <w:r w:rsidRPr="0098432C">
        <w:t xml:space="preserve">участки автомобильных дорог общей протяженностью 35,3 км последний раз ремонтировались более 10 лет назад, из них более 8,0 км составляет участок автомобильной дороги Санкт-Петербург – Ручьи, ранее находившейся в собственности Ленинградской области и более 20 </w:t>
      </w:r>
      <w:proofErr w:type="gramStart"/>
      <w:r w:rsidRPr="0098432C">
        <w:t>лет</w:t>
      </w:r>
      <w:proofErr w:type="gramEnd"/>
      <w:r w:rsidRPr="0098432C">
        <w:t xml:space="preserve"> назад переданный в собственность Сосновоборского городского округа.</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bCs/>
          <w:lang w:eastAsia="ru-RU" w:bidi="en-US"/>
        </w:rPr>
      </w:pPr>
      <w:r w:rsidRPr="0098432C">
        <w:rPr>
          <w:rFonts w:eastAsia="Times New Roman"/>
          <w:lang w:bidi="en-US"/>
        </w:rPr>
        <w:t>Д</w:t>
      </w:r>
      <w:r w:rsidRPr="0098432C">
        <w:rPr>
          <w:rFonts w:eastAsia="Times New Roman"/>
          <w:bCs/>
          <w:lang w:eastAsia="ru-RU" w:bidi="en-US"/>
        </w:rPr>
        <w:t xml:space="preserve">оля протяженности автомобильных дорог общего пользования местного значения, не отвечающих нормативным требованиям, возрастет с 71,81 % в 2019 году до 76,3 % в 2021 году. </w:t>
      </w:r>
      <w:proofErr w:type="gramStart"/>
      <w:r w:rsidRPr="0098432C">
        <w:t>Увеличение связано с планируемым приемом в муниципальную собственность 7 автомобильных дорог общей протяженностью 5,9 км, что увеличит общую протяженность автомобильных дорог в Сосновоборском городскому округе до 56,4 км (при этом в ненормативном состоянии предположительно в 2020 году будет 41,5 км автомобильных дорог местного значения, в 2021 году – 43,04 км).</w:t>
      </w:r>
      <w:proofErr w:type="gramEnd"/>
    </w:p>
    <w:p w:rsidR="00D87FFE" w:rsidRPr="0098432C" w:rsidRDefault="00D87FFE" w:rsidP="00E034F8">
      <w:pPr>
        <w:spacing w:line="276" w:lineRule="auto"/>
        <w:ind w:firstLine="708"/>
        <w:rPr>
          <w:rFonts w:eastAsia="Times New Roman"/>
          <w:lang w:bidi="en-US"/>
        </w:rPr>
      </w:pPr>
    </w:p>
    <w:p w:rsidR="00D87FFE" w:rsidRPr="0098432C" w:rsidRDefault="00D87FFE" w:rsidP="00E034F8">
      <w:pPr>
        <w:spacing w:line="276" w:lineRule="auto"/>
        <w:ind w:firstLine="708"/>
        <w:rPr>
          <w:rFonts w:eastAsia="Times New Roman"/>
          <w:bCs/>
          <w:lang w:eastAsia="ru-RU"/>
        </w:rPr>
      </w:pPr>
      <w:r w:rsidRPr="0098432C">
        <w:rPr>
          <w:rFonts w:eastAsia="Times New Roman"/>
          <w:b/>
          <w:bCs/>
          <w:lang w:eastAsia="ru-RU"/>
        </w:rPr>
        <w:lastRenderedPageBreak/>
        <w:t>Показатель 7.</w:t>
      </w:r>
      <w:r w:rsidRPr="0098432C">
        <w:rPr>
          <w:rFonts w:eastAsia="Times New Roman"/>
          <w:bCs/>
          <w:lang w:eastAsia="ru-RU"/>
        </w:rPr>
        <w:t xml:space="preserve"> </w:t>
      </w:r>
      <w:r w:rsidRPr="0098432C">
        <w:rPr>
          <w:rFonts w:eastAsia="Times New Roman"/>
          <w:b/>
          <w:bCs/>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98432C">
        <w:rPr>
          <w:rFonts w:eastAsia="Times New Roman"/>
          <w:bCs/>
          <w:lang w:eastAsia="ru-RU"/>
        </w:rPr>
        <w:t>.</w:t>
      </w:r>
    </w:p>
    <w:p w:rsidR="00D87FFE" w:rsidRPr="0098432C" w:rsidRDefault="00D87FFE" w:rsidP="00E034F8">
      <w:pPr>
        <w:spacing w:line="276" w:lineRule="auto"/>
        <w:ind w:firstLine="708"/>
        <w:rPr>
          <w:rFonts w:eastAsia="Times New Roman"/>
          <w:bCs/>
          <w:lang w:bidi="en-US"/>
        </w:rPr>
      </w:pPr>
      <w:r w:rsidRPr="0098432C">
        <w:rPr>
          <w:rFonts w:eastAsia="Times New Roman"/>
          <w:lang w:bidi="en-US"/>
        </w:rPr>
        <w:t>Н</w:t>
      </w:r>
      <w:r w:rsidRPr="0098432C">
        <w:rPr>
          <w:rFonts w:eastAsia="Times New Roman"/>
          <w:bCs/>
          <w:lang w:bidi="en-US"/>
        </w:rPr>
        <w:t xml:space="preserve">аселенных пунктов, не имеющих регулярного автобусного и (или) железнодорожного сообщения с административным центром городского округа, </w:t>
      </w:r>
      <w:proofErr w:type="gramStart"/>
      <w:r w:rsidRPr="0098432C">
        <w:rPr>
          <w:rFonts w:eastAsia="Times New Roman"/>
          <w:bCs/>
          <w:lang w:bidi="en-US"/>
        </w:rPr>
        <w:t>нет и в рассматриваемом периоде не предвидится</w:t>
      </w:r>
      <w:proofErr w:type="gramEnd"/>
      <w:r w:rsidRPr="0098432C">
        <w:rPr>
          <w:rFonts w:eastAsia="Times New Roman"/>
          <w:bCs/>
          <w:lang w:bidi="en-US"/>
        </w:rPr>
        <w:t>.</w:t>
      </w:r>
    </w:p>
    <w:p w:rsidR="00D87FFE" w:rsidRPr="0098432C" w:rsidRDefault="00D87FFE" w:rsidP="00E034F8">
      <w:pPr>
        <w:spacing w:line="276" w:lineRule="auto"/>
        <w:ind w:firstLine="708"/>
        <w:rPr>
          <w:rFonts w:eastAsia="Times New Roman"/>
          <w:bCs/>
          <w:lang w:bidi="en-US"/>
        </w:rPr>
      </w:pPr>
    </w:p>
    <w:p w:rsidR="00D87FFE" w:rsidRPr="0098432C" w:rsidRDefault="00D87FFE" w:rsidP="00E034F8">
      <w:pPr>
        <w:spacing w:line="276" w:lineRule="auto"/>
        <w:ind w:firstLine="708"/>
        <w:rPr>
          <w:rFonts w:eastAsia="Times New Roman"/>
          <w:b/>
          <w:lang w:eastAsia="ru-RU"/>
        </w:rPr>
      </w:pPr>
      <w:r w:rsidRPr="0098432C">
        <w:rPr>
          <w:rFonts w:eastAsia="Times New Roman"/>
          <w:b/>
          <w:bCs/>
          <w:lang w:eastAsia="ru-RU"/>
        </w:rPr>
        <w:t xml:space="preserve">Показатель 8. </w:t>
      </w:r>
      <w:r w:rsidRPr="0098432C">
        <w:rPr>
          <w:rFonts w:eastAsia="Times New Roman"/>
          <w:b/>
          <w:lang w:eastAsia="ru-RU"/>
        </w:rPr>
        <w:t>Среднемесячная номинальная начисленная заработная плата работников:</w:t>
      </w: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 крупных и средних предприятий и некоммерческих организаций</w:t>
      </w:r>
      <w:r w:rsidRPr="0098432C">
        <w:rPr>
          <w:rFonts w:eastAsia="Times New Roman"/>
          <w:lang w:eastAsia="ru-RU"/>
        </w:rPr>
        <w:t>:</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2016 году – 56678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105,3 %;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2017 году – 62320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110,0 %;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2018 году – 68345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109,7 %.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Высокий темп роста средней зарплаты по округу в 2018 году вызван высоким темпом роста зарплаты в строительной отрасли (115,8 %), связанным с выполнением большого объема строительно-монтажных и пуско-наладочных работ на строительстве ЛАЭС-2.</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2019 году – 72582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106,2 %;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2020 году – 76647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105,6 %;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2021 году – 81246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106,0 %.</w:t>
      </w:r>
    </w:p>
    <w:p w:rsidR="00D87FFE" w:rsidRPr="0098432C" w:rsidRDefault="00D87FFE" w:rsidP="00E034F8">
      <w:pPr>
        <w:spacing w:line="276" w:lineRule="auto"/>
        <w:ind w:firstLine="709"/>
        <w:rPr>
          <w:rFonts w:eastAsia="Times New Roman"/>
          <w:lang w:eastAsia="ru-RU"/>
        </w:rPr>
      </w:pPr>
      <w:proofErr w:type="gramStart"/>
      <w:r w:rsidRPr="0098432C">
        <w:rPr>
          <w:rFonts w:eastAsia="Times New Roman"/>
          <w:lang w:eastAsia="ru-RU"/>
        </w:rPr>
        <w:t>Прогнозируемый уровень средней заработной платы в 2019-2021 годах рассчитан по более низким темпам роста, чем фактические за последние 2 года, поскольку средняя заработная плата в округе в 2017-2018 годах быстро росла и достигла высокого уровня (в 1,6 раза выше, чем по Ленинградской области), завершен основной объем строительно-монтажных работ на строительстве первой очереди ЛАЭС-2, то есть потенциал быстрого роста заработной платы</w:t>
      </w:r>
      <w:proofErr w:type="gramEnd"/>
      <w:r w:rsidRPr="0098432C">
        <w:rPr>
          <w:rFonts w:eastAsia="Times New Roman"/>
          <w:lang w:eastAsia="ru-RU"/>
        </w:rPr>
        <w:t xml:space="preserve"> снизился.</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Cs/>
          <w:lang w:eastAsia="ru-RU"/>
        </w:rPr>
        <w:t xml:space="preserve">- </w:t>
      </w:r>
      <w:r w:rsidRPr="0098432C">
        <w:rPr>
          <w:rFonts w:eastAsia="Times New Roman"/>
          <w:b/>
          <w:bCs/>
          <w:lang w:eastAsia="ru-RU"/>
        </w:rPr>
        <w:t>муниципальных детских дошкольных учреждений</w:t>
      </w:r>
      <w:r w:rsidRPr="0098432C">
        <w:rPr>
          <w:rFonts w:eastAsia="Times New Roman"/>
          <w:bCs/>
          <w:lang w:eastAsia="ru-RU"/>
        </w:rPr>
        <w:t xml:space="preserve"> за 2018 год выросла на 9,1 %  к 2017 году и составила 34 828 руб.;</w:t>
      </w:r>
    </w:p>
    <w:p w:rsidR="00D87FFE" w:rsidRPr="0098432C" w:rsidRDefault="00D87FFE" w:rsidP="00E034F8">
      <w:pPr>
        <w:spacing w:line="276" w:lineRule="auto"/>
        <w:ind w:firstLine="709"/>
        <w:rPr>
          <w:rFonts w:eastAsia="Times New Roman"/>
          <w:b/>
          <w:bCs/>
          <w:lang w:eastAsia="ru-RU"/>
        </w:rPr>
      </w:pPr>
      <w:r w:rsidRPr="0098432C">
        <w:rPr>
          <w:rFonts w:eastAsia="Times New Roman"/>
          <w:bCs/>
          <w:lang w:eastAsia="ru-RU"/>
        </w:rPr>
        <w:t xml:space="preserve">- </w:t>
      </w:r>
      <w:r w:rsidRPr="0098432C">
        <w:rPr>
          <w:rFonts w:eastAsia="Times New Roman"/>
          <w:b/>
          <w:bCs/>
          <w:lang w:eastAsia="ru-RU"/>
        </w:rPr>
        <w:t>муниципальных общеобразовательных учреждений</w:t>
      </w:r>
      <w:r w:rsidRPr="0098432C">
        <w:rPr>
          <w:rFonts w:eastAsia="Times New Roman"/>
          <w:bCs/>
          <w:lang w:eastAsia="ru-RU"/>
        </w:rPr>
        <w:t xml:space="preserve"> за 2018 год возросла на 7,5 % по сравнению с 2017 годом и достигла 41 419,9  руб.;</w:t>
      </w:r>
    </w:p>
    <w:p w:rsidR="00D87FFE" w:rsidRPr="0098432C" w:rsidRDefault="00D87FFE" w:rsidP="00E034F8">
      <w:pPr>
        <w:spacing w:line="276" w:lineRule="auto"/>
        <w:ind w:firstLine="709"/>
        <w:rPr>
          <w:rFonts w:eastAsia="Times New Roman"/>
          <w:b/>
          <w:bCs/>
          <w:lang w:eastAsia="ru-RU"/>
        </w:rPr>
      </w:pPr>
      <w:r w:rsidRPr="0098432C">
        <w:rPr>
          <w:rFonts w:eastAsia="Times New Roman"/>
          <w:bCs/>
          <w:lang w:eastAsia="ru-RU"/>
        </w:rPr>
        <w:t xml:space="preserve">- </w:t>
      </w:r>
      <w:r w:rsidRPr="0098432C">
        <w:rPr>
          <w:rFonts w:eastAsia="Times New Roman"/>
          <w:b/>
          <w:bCs/>
          <w:lang w:eastAsia="ru-RU"/>
        </w:rPr>
        <w:t>учителей муниципальных общеобразовательных учреждений</w:t>
      </w:r>
      <w:r w:rsidRPr="0098432C">
        <w:rPr>
          <w:rFonts w:eastAsia="Times New Roman"/>
          <w:bCs/>
          <w:lang w:eastAsia="ru-RU"/>
        </w:rPr>
        <w:t xml:space="preserve"> за 2018 год увеличилась на 6,0 % по сравнению с 2017 годом и составила 42 180,8 руб.</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u w:val="single"/>
          <w:lang w:eastAsia="ru-RU"/>
        </w:rPr>
      </w:pPr>
      <w:proofErr w:type="gramStart"/>
      <w:r w:rsidRPr="0098432C">
        <w:rPr>
          <w:rFonts w:eastAsia="Times New Roman"/>
          <w:bCs/>
          <w:lang w:eastAsia="ru-RU"/>
        </w:rPr>
        <w:t>В соответствии с Указом Президента Российской Федерации № 597 от 07.05.2012 и Программой</w:t>
      </w:r>
      <w:r w:rsidRPr="0098432C">
        <w:rPr>
          <w:rFonts w:eastAsia="Times New Roman"/>
          <w:b/>
          <w:lang w:eastAsia="ru-RU"/>
        </w:rPr>
        <w:t xml:space="preserve"> </w:t>
      </w:r>
      <w:r w:rsidRPr="0098432C">
        <w:rPr>
          <w:rFonts w:eastAsia="Times New Roman"/>
          <w:lang w:eastAsia="ru-RU"/>
        </w:rPr>
        <w:t xml:space="preserve">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 2190-р от 26.11.2012, составлен </w:t>
      </w:r>
      <w:r w:rsidRPr="0098432C">
        <w:rPr>
          <w:rFonts w:eastAsia="Times New Roman"/>
          <w:bCs/>
          <w:lang w:eastAsia="ru-RU"/>
        </w:rPr>
        <w:t>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w:t>
      </w:r>
      <w:r w:rsidRPr="0098432C">
        <w:rPr>
          <w:rFonts w:eastAsia="Times New Roman"/>
          <w:b/>
          <w:bCs/>
          <w:lang w:eastAsia="ru-RU"/>
        </w:rPr>
        <w:t xml:space="preserve">», </w:t>
      </w:r>
      <w:r w:rsidRPr="0098432C">
        <w:rPr>
          <w:rFonts w:eastAsia="Times New Roman"/>
          <w:lang w:eastAsia="ru-RU"/>
        </w:rPr>
        <w:t>планируется увеличение среднемесячной номинальной начисленной зарплаты работников образовательных учреждений</w:t>
      </w:r>
      <w:proofErr w:type="gramEnd"/>
      <w:r w:rsidRPr="0098432C">
        <w:rPr>
          <w:rFonts w:eastAsia="Times New Roman"/>
          <w:lang w:eastAsia="ru-RU"/>
        </w:rPr>
        <w:t xml:space="preserve"> в 2019-2021 годах в среднем на 5 % ежегодно.</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keepNext/>
        <w:spacing w:line="276" w:lineRule="auto"/>
        <w:ind w:firstLine="709"/>
        <w:rPr>
          <w:rFonts w:eastAsia="Times New Roman"/>
          <w:lang w:eastAsia="ru-RU"/>
        </w:rPr>
      </w:pPr>
      <w:r w:rsidRPr="0098432C">
        <w:rPr>
          <w:rFonts w:eastAsia="Times New Roman"/>
          <w:b/>
          <w:lang w:eastAsia="ru-RU"/>
        </w:rPr>
        <w:lastRenderedPageBreak/>
        <w:t>- муниципальных учреждений культуры и искусства</w:t>
      </w:r>
      <w:r w:rsidRPr="0098432C">
        <w:rPr>
          <w:rFonts w:eastAsia="Times New Roman"/>
          <w:lang w:eastAsia="ru-RU"/>
        </w:rPr>
        <w:t>.</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Среднемесячная номинальная начисленная заработная плата работников муниципальных учреждений культуры и искусства составила за 2016 год – 26 793 рублей, за 2017 год – 32 156 руб., за 2018 года – 41 841,36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30 %.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Планируемая заработная плата на 2019 год – 42 594,87 рублей,  2020 год – 42 600 рублей, 2021 год – 44 304. При планировании бюджета на 2020 год устанавливался показатель 40 370 </w:t>
      </w:r>
      <w:proofErr w:type="spellStart"/>
      <w:r w:rsidRPr="0098432C">
        <w:rPr>
          <w:rFonts w:eastAsia="Times New Roman"/>
          <w:lang w:eastAsia="ru-RU"/>
        </w:rPr>
        <w:t>х</w:t>
      </w:r>
      <w:proofErr w:type="spellEnd"/>
      <w:r w:rsidRPr="0098432C">
        <w:rPr>
          <w:rFonts w:eastAsia="Times New Roman"/>
          <w:lang w:eastAsia="ru-RU"/>
        </w:rPr>
        <w:t xml:space="preserve"> 1,04. С целью недопущения отрицательной динамики к 2019 году, при составлении прогноза на 2020 год принят показатель 42600, на 2021 год применен индекс-дефлятор 1,04.</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 xml:space="preserve">Увеличение оплаты труда работников муниципальных учреждений культуры, начиная с 2013 года, осуществляется согласно Плану мероприятий («дорожная карта») «Повышение эффективности сферы культуры и совершенствования </w:t>
      </w:r>
      <w:proofErr w:type="gramStart"/>
      <w:r w:rsidRPr="0098432C">
        <w:rPr>
          <w:rFonts w:eastAsia="Times New Roman"/>
          <w:lang w:eastAsia="ru-RU"/>
        </w:rPr>
        <w:t>оплаты труда работников учреждений культуры</w:t>
      </w:r>
      <w:proofErr w:type="gramEnd"/>
      <w:r w:rsidRPr="0098432C">
        <w:rPr>
          <w:rFonts w:eastAsia="Times New Roman"/>
          <w:lang w:eastAsia="ru-RU"/>
        </w:rPr>
        <w:t xml:space="preserve"> Сосновоборского городского округа Ленинградской области (2013-2018 годы)» (постановление администрации округа от 16.07.2013 № 1818 с изменениями). </w:t>
      </w:r>
    </w:p>
    <w:p w:rsidR="00D87FFE" w:rsidRPr="0098432C" w:rsidRDefault="00D87FFE" w:rsidP="00E034F8">
      <w:pPr>
        <w:spacing w:line="276" w:lineRule="auto"/>
        <w:ind w:firstLine="708"/>
        <w:rPr>
          <w:rFonts w:eastAsia="Times New Roman"/>
          <w:lang w:eastAsia="ru-RU"/>
        </w:rPr>
      </w:pPr>
    </w:p>
    <w:p w:rsidR="00D87FFE" w:rsidRPr="0098432C" w:rsidRDefault="00D87FFE" w:rsidP="00E034F8">
      <w:pPr>
        <w:keepNext/>
        <w:spacing w:line="276" w:lineRule="auto"/>
        <w:ind w:firstLine="709"/>
        <w:rPr>
          <w:rFonts w:eastAsia="Times New Roman"/>
          <w:b/>
          <w:lang w:eastAsia="ru-RU"/>
        </w:rPr>
      </w:pPr>
      <w:r w:rsidRPr="0098432C">
        <w:rPr>
          <w:rFonts w:eastAsia="Times New Roman"/>
          <w:b/>
          <w:lang w:eastAsia="ru-RU"/>
        </w:rPr>
        <w:t>- муниципальных учреждений физической культуры и спорта.</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Среднемесячная номинальная начисленная заработная плата работников муниципальных учреждений физической культуры и спорта составила за 2016 год – 36526 руб., за 2017 год – 39860 руб., за 2018 год – 37793 руб., ро</w:t>
      </w:r>
      <w:proofErr w:type="gramStart"/>
      <w:r w:rsidRPr="0098432C">
        <w:rPr>
          <w:rFonts w:eastAsia="Times New Roman"/>
          <w:lang w:eastAsia="ru-RU"/>
        </w:rPr>
        <w:t>ст к пр</w:t>
      </w:r>
      <w:proofErr w:type="gramEnd"/>
      <w:r w:rsidRPr="0098432C">
        <w:rPr>
          <w:rFonts w:eastAsia="Times New Roman"/>
          <w:lang w:eastAsia="ru-RU"/>
        </w:rPr>
        <w:t>едыдущему году – 105,4 %.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pPr>
      <w:r w:rsidRPr="0098432C">
        <w:rPr>
          <w:rFonts w:eastAsia="Times New Roman"/>
          <w:lang w:eastAsia="ru-RU"/>
        </w:rPr>
        <w:t>В 2019-2021 годах среднемесячная номинальная начисленная заработная плата работников муниципальных учреждений физической культуры и спорта планируется с ежегодным ростом 4 %.</w:t>
      </w:r>
    </w:p>
    <w:p w:rsidR="00D87FFE" w:rsidRPr="0098432C" w:rsidRDefault="00D87FFE" w:rsidP="00E034F8">
      <w:pPr>
        <w:spacing w:line="276" w:lineRule="auto"/>
        <w:ind w:firstLine="709"/>
      </w:pP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val="en-US" w:eastAsia="ru-RU"/>
        </w:rPr>
        <w:t>II</w:t>
      </w:r>
      <w:r w:rsidRPr="0098432C">
        <w:rPr>
          <w:rFonts w:eastAsia="Times New Roman"/>
          <w:b/>
          <w:sz w:val="28"/>
          <w:szCs w:val="28"/>
          <w:lang w:eastAsia="ru-RU"/>
        </w:rPr>
        <w:t>. Дошкольное образование</w:t>
      </w:r>
    </w:p>
    <w:p w:rsidR="00D87FFE" w:rsidRPr="0098432C" w:rsidRDefault="00D87FFE" w:rsidP="00E034F8">
      <w:pPr>
        <w:adjustRightInd w:val="0"/>
        <w:spacing w:after="120" w:line="276" w:lineRule="auto"/>
        <w:jc w:val="center"/>
        <w:rPr>
          <w:rFonts w:eastAsia="Times New Roman"/>
          <w:b/>
          <w:bCs/>
          <w:sz w:val="28"/>
          <w:szCs w:val="28"/>
          <w:lang w:eastAsia="ru-RU"/>
        </w:rPr>
      </w:pPr>
      <w:r w:rsidRPr="0098432C">
        <w:rPr>
          <w:rFonts w:eastAsia="Times New Roman"/>
          <w:b/>
          <w:sz w:val="28"/>
          <w:szCs w:val="28"/>
          <w:lang w:eastAsia="ru-RU"/>
        </w:rPr>
        <w:t>Х</w:t>
      </w:r>
      <w:r w:rsidRPr="0098432C">
        <w:rPr>
          <w:rFonts w:eastAsia="Times New Roman"/>
          <w:b/>
          <w:bCs/>
          <w:sz w:val="28"/>
          <w:szCs w:val="28"/>
          <w:lang w:eastAsia="ru-RU"/>
        </w:rPr>
        <w:t>арактеристика отрасли</w:t>
      </w:r>
    </w:p>
    <w:p w:rsidR="00D87FFE" w:rsidRPr="0098432C" w:rsidRDefault="00D87FFE" w:rsidP="00E034F8">
      <w:pPr>
        <w:spacing w:line="276" w:lineRule="auto"/>
        <w:ind w:firstLine="709"/>
        <w:rPr>
          <w:rFonts w:eastAsia="Times New Roman"/>
          <w:lang w:eastAsia="ru-RU"/>
        </w:rPr>
      </w:pPr>
      <w:proofErr w:type="gramStart"/>
      <w:r w:rsidRPr="0098432C">
        <w:rPr>
          <w:rFonts w:eastAsia="Times New Roman"/>
          <w:lang w:eastAsia="ru-RU"/>
        </w:rPr>
        <w:t>В</w:t>
      </w:r>
      <w:proofErr w:type="gramEnd"/>
      <w:r w:rsidRPr="0098432C">
        <w:rPr>
          <w:rFonts w:eastAsia="Times New Roman"/>
          <w:lang w:eastAsia="ru-RU"/>
        </w:rPr>
        <w:t xml:space="preserve"> </w:t>
      </w:r>
      <w:proofErr w:type="gramStart"/>
      <w:r w:rsidRPr="0098432C">
        <w:rPr>
          <w:rFonts w:eastAsia="Times New Roman"/>
          <w:lang w:eastAsia="ru-RU"/>
        </w:rPr>
        <w:t>Сосновоборском</w:t>
      </w:r>
      <w:proofErr w:type="gramEnd"/>
      <w:r w:rsidRPr="0098432C">
        <w:rPr>
          <w:rFonts w:eastAsia="Times New Roman"/>
          <w:lang w:eastAsia="ru-RU"/>
        </w:rPr>
        <w:t xml:space="preserve"> городском округе 14 муниципальных бюджетных дошкольных образовательных учреждений, среди которых 3 учреждения – центры развития ребенка, 11 дошкольных образовательных учреждений.</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На 31.12.2018 в дошкольных учреждениях города – 3736 детей, что на 92 ребенка больше, чем в 2017 году. Численность детей раннего возраста (от 1 до 3 лет), посещающих муниципальные бюджетные дошкольные учреждения, составляет 851 ребенок (2017 год – 823 ребенка), в возрасте от 3 до 7 лет – 2885 детей (2017 год – 2821 ребенок). </w:t>
      </w:r>
    </w:p>
    <w:p w:rsidR="00D87FFE" w:rsidRPr="0098432C" w:rsidRDefault="00D87FFE" w:rsidP="00E034F8">
      <w:pPr>
        <w:spacing w:line="276" w:lineRule="auto"/>
        <w:ind w:firstLine="709"/>
        <w:rPr>
          <w:rFonts w:eastAsia="Times New Roman"/>
          <w:lang w:eastAsia="ru-RU"/>
        </w:rPr>
      </w:pPr>
      <w:proofErr w:type="gramStart"/>
      <w:r w:rsidRPr="0098432C">
        <w:rPr>
          <w:rFonts w:eastAsia="Times New Roman"/>
          <w:lang w:eastAsia="ru-RU"/>
        </w:rPr>
        <w:t>В</w:t>
      </w:r>
      <w:proofErr w:type="gramEnd"/>
      <w:r w:rsidRPr="0098432C">
        <w:rPr>
          <w:rFonts w:eastAsia="Times New Roman"/>
          <w:lang w:eastAsia="ru-RU"/>
        </w:rPr>
        <w:t xml:space="preserve"> </w:t>
      </w:r>
      <w:proofErr w:type="gramStart"/>
      <w:r w:rsidRPr="0098432C">
        <w:rPr>
          <w:rFonts w:eastAsia="Times New Roman"/>
          <w:lang w:eastAsia="ru-RU"/>
        </w:rPr>
        <w:t>Сосновоборском</w:t>
      </w:r>
      <w:proofErr w:type="gramEnd"/>
      <w:r w:rsidRPr="0098432C">
        <w:rPr>
          <w:rFonts w:eastAsia="Times New Roman"/>
          <w:lang w:eastAsia="ru-RU"/>
        </w:rPr>
        <w:t xml:space="preserve"> городском округе решена проблема обеспечения местами в дошкольных учреждениях детей в возрасте от 3 до 7 лет.</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Потребности горожан в местах в дошкольных учреждениях обеспечены для детей              с 3 до 7 лет на 100 %, как и в 2017 году.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Ежегодно увеличивается потребность в местах в детских садах для детей, как раннего  возраста, так и детей старшего дошкольного возраста, что является следствием активных миграционных процессов.</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Внутренние резервы муниципальных бюджетных дошкольных образовательных учреждений для создания дополнительных мест исчерпаны.</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keepNext/>
        <w:spacing w:after="120" w:line="276" w:lineRule="auto"/>
        <w:jc w:val="center"/>
        <w:rPr>
          <w:rFonts w:eastAsia="Times New Roman"/>
          <w:b/>
          <w:bCs/>
          <w:sz w:val="28"/>
          <w:szCs w:val="28"/>
          <w:lang w:eastAsia="ru-RU"/>
        </w:rPr>
      </w:pPr>
      <w:r w:rsidRPr="0098432C">
        <w:rPr>
          <w:rFonts w:eastAsia="Times New Roman"/>
          <w:b/>
          <w:bCs/>
          <w:sz w:val="28"/>
          <w:szCs w:val="28"/>
          <w:lang w:eastAsia="ru-RU"/>
        </w:rPr>
        <w:lastRenderedPageBreak/>
        <w:t>Показатели</w:t>
      </w: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D87FFE" w:rsidRPr="0098432C" w:rsidRDefault="00D87FFE" w:rsidP="00E034F8">
      <w:pPr>
        <w:spacing w:line="276" w:lineRule="auto"/>
        <w:ind w:firstLine="709"/>
        <w:rPr>
          <w:rFonts w:eastAsia="Times New Roman"/>
          <w:b/>
          <w:bCs/>
          <w:lang w:eastAsia="ru-RU"/>
        </w:rPr>
      </w:pPr>
      <w:proofErr w:type="gramStart"/>
      <w:r w:rsidRPr="0098432C">
        <w:rPr>
          <w:rFonts w:eastAsia="Times New Roman"/>
          <w:lang w:eastAsia="ru-RU"/>
        </w:rPr>
        <w:t>Доля детей в возрасте 1 - 6 лет, получающих дошкольную образовательную услугу, составляет 87 %. По сравнению с 2017 годом произошло увеличение численности детей в МБДОУ на 92 ребенка, или на 2,5 %. Прирост населения в возрасте 1 - 6 лет в округе превышает возможности охвата дошкольным образованием в муниципальных бюджетных дошкольных образовательных учреждениях всех нуждающихся в данной услуге.</w:t>
      </w:r>
      <w:proofErr w:type="gramEnd"/>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rPr>
        <w:t>На 2019-2021 годы запланирована небольшая положительная динамика показателя.</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line="276" w:lineRule="auto"/>
        <w:ind w:firstLine="709"/>
        <w:rPr>
          <w:rFonts w:eastAsia="Times New Roman"/>
          <w:b/>
          <w:lang w:eastAsia="ru-RU"/>
        </w:rPr>
      </w:pPr>
      <w:r w:rsidRPr="0098432C">
        <w:rPr>
          <w:rFonts w:eastAsia="Times New Roman"/>
          <w:b/>
          <w:lang w:eastAsia="ru-RU"/>
        </w:rPr>
        <w:t>Показатель 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Доля детей в возрасте от 1 до 6 лет, стоящих на учете для определения в муниципальные дошкольные образовательные учреждения в 2018 году, составила 11,5 %, что немного ниже  уровня предыдущего года. </w:t>
      </w:r>
    </w:p>
    <w:p w:rsidR="00D87FFE" w:rsidRPr="0098432C" w:rsidRDefault="00D87FFE" w:rsidP="00E034F8">
      <w:pPr>
        <w:spacing w:line="276" w:lineRule="auto"/>
        <w:ind w:firstLine="709"/>
        <w:rPr>
          <w:rFonts w:eastAsia="Times New Roman"/>
          <w:b/>
          <w:lang w:eastAsia="ru-RU"/>
        </w:rPr>
      </w:pPr>
      <w:r w:rsidRPr="0098432C">
        <w:rPr>
          <w:rFonts w:eastAsia="Times New Roman"/>
          <w:lang w:eastAsia="ru-RU"/>
        </w:rPr>
        <w:t xml:space="preserve">Дети возраста 3-7 лет обеспечены местами на 100 %. Для детей в возрасте от 3 до 7 лет имеется 46 свободных мест, из которых 36 мест – в старших и подготовительных к школе группах. </w:t>
      </w:r>
    </w:p>
    <w:p w:rsidR="00D87FFE" w:rsidRPr="0098432C" w:rsidRDefault="00D87FFE" w:rsidP="00E034F8">
      <w:pPr>
        <w:keepNext/>
        <w:spacing w:line="276" w:lineRule="auto"/>
        <w:ind w:firstLine="709"/>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rPr>
      </w:pPr>
      <w:r w:rsidRPr="0098432C">
        <w:rPr>
          <w:rFonts w:eastAsia="Times New Roman"/>
        </w:rPr>
        <w:t>На 2019-2021 годы запланирована небольшая положительная динамика показателя.</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line="276" w:lineRule="auto"/>
        <w:ind w:firstLine="709"/>
        <w:rPr>
          <w:rFonts w:eastAsia="Times New Roman"/>
          <w:b/>
        </w:rPr>
      </w:pPr>
      <w:r w:rsidRPr="0098432C">
        <w:rPr>
          <w:rFonts w:eastAsia="Times New Roman"/>
          <w:b/>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D87FFE" w:rsidRPr="0098432C" w:rsidRDefault="00D87FFE" w:rsidP="00E034F8">
      <w:pPr>
        <w:spacing w:line="276" w:lineRule="auto"/>
        <w:ind w:firstLine="709"/>
        <w:rPr>
          <w:rFonts w:eastAsia="Times New Roman"/>
          <w:b/>
        </w:rPr>
      </w:pPr>
      <w:r w:rsidRPr="0098432C">
        <w:rPr>
          <w:rFonts w:eastAsia="Times New Roman"/>
        </w:rPr>
        <w:t xml:space="preserve">Ни одно из 14 дошкольных учреждений не находятся в аварийном состоянии. Ежегодно из бюджета города выделяются средства на текущий и капитальный ремонты дошкольных учреждений. </w:t>
      </w:r>
      <w:r w:rsidRPr="0098432C">
        <w:rPr>
          <w:rFonts w:eastAsia="Times New Roman"/>
          <w:bCs/>
        </w:rPr>
        <w:t>В 2018 году выделено</w:t>
      </w:r>
      <w:r w:rsidRPr="0098432C">
        <w:rPr>
          <w:rFonts w:eastAsia="Times New Roman"/>
        </w:rPr>
        <w:t xml:space="preserve"> на ремонтные работы дошкольных учреждений из средств местного бюджета 26,1 млн. руб.</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rPr>
        <w:t>В 2019-2021 годах планируется сохранить нулевое значение показателя.</w:t>
      </w:r>
    </w:p>
    <w:p w:rsidR="00D87FFE" w:rsidRPr="0098432C" w:rsidRDefault="00D87FFE" w:rsidP="00E034F8">
      <w:pPr>
        <w:spacing w:line="276" w:lineRule="auto"/>
        <w:ind w:firstLine="709"/>
        <w:rPr>
          <w:rFonts w:eastAsia="Times New Roman"/>
        </w:rPr>
      </w:pP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val="en-US" w:eastAsia="ru-RU"/>
        </w:rPr>
        <w:t>III</w:t>
      </w:r>
      <w:r w:rsidRPr="0098432C">
        <w:rPr>
          <w:rFonts w:eastAsia="Times New Roman"/>
          <w:b/>
          <w:sz w:val="28"/>
          <w:szCs w:val="28"/>
          <w:lang w:eastAsia="ru-RU"/>
        </w:rPr>
        <w:t>. Общее и дополнительное образование</w:t>
      </w: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eastAsia="ru-RU"/>
        </w:rPr>
        <w:t>Характеристика отрасли</w:t>
      </w:r>
    </w:p>
    <w:p w:rsidR="00D87FFE" w:rsidRPr="0098432C" w:rsidRDefault="00D87FFE" w:rsidP="00E034F8">
      <w:pPr>
        <w:spacing w:line="276" w:lineRule="auto"/>
        <w:ind w:firstLine="709"/>
        <w:rPr>
          <w:rFonts w:eastAsia="Times New Roman"/>
          <w:lang w:eastAsia="ru-RU"/>
        </w:rPr>
      </w:pPr>
      <w:proofErr w:type="gramStart"/>
      <w:r w:rsidRPr="0098432C">
        <w:rPr>
          <w:rFonts w:eastAsia="Times New Roman"/>
          <w:lang w:eastAsia="ru-RU"/>
        </w:rPr>
        <w:t>В</w:t>
      </w:r>
      <w:proofErr w:type="gramEnd"/>
      <w:r w:rsidRPr="0098432C">
        <w:rPr>
          <w:rFonts w:eastAsia="Times New Roman"/>
          <w:lang w:eastAsia="ru-RU"/>
        </w:rPr>
        <w:t xml:space="preserve"> </w:t>
      </w:r>
      <w:proofErr w:type="gramStart"/>
      <w:r w:rsidRPr="0098432C">
        <w:rPr>
          <w:rFonts w:eastAsia="Times New Roman"/>
          <w:lang w:eastAsia="ru-RU"/>
        </w:rPr>
        <w:t>Сосновоборском</w:t>
      </w:r>
      <w:proofErr w:type="gramEnd"/>
      <w:r w:rsidRPr="0098432C">
        <w:rPr>
          <w:rFonts w:eastAsia="Times New Roman"/>
          <w:lang w:eastAsia="ru-RU"/>
        </w:rPr>
        <w:t xml:space="preserve"> городском округе 10 </w:t>
      </w:r>
      <w:r w:rsidRPr="0098432C">
        <w:rPr>
          <w:rFonts w:eastAsia="Times New Roman"/>
          <w:b/>
          <w:lang w:eastAsia="ru-RU"/>
        </w:rPr>
        <w:t>общеобразовательных учреждений</w:t>
      </w:r>
      <w:r w:rsidRPr="0098432C">
        <w:rPr>
          <w:rFonts w:eastAsia="Times New Roman"/>
          <w:lang w:eastAsia="ru-RU"/>
        </w:rPr>
        <w:t xml:space="preserve">, в том числе 9 муниципальных  бюджетных общеобразовательных учреждений (среди них гимназия, лицей, школа с углубленным изучением английского языка) и 1 негосударственное образовательное учреждение. </w:t>
      </w:r>
    </w:p>
    <w:p w:rsidR="00D87FFE" w:rsidRPr="0098432C" w:rsidRDefault="00D87FFE" w:rsidP="00E034F8">
      <w:pPr>
        <w:shd w:val="clear" w:color="auto" w:fill="FFFFFF"/>
        <w:spacing w:line="276" w:lineRule="auto"/>
        <w:ind w:firstLine="709"/>
      </w:pPr>
      <w:r w:rsidRPr="0098432C">
        <w:t>В 2018 году в общеобразовательных организациях города обучается 6096 учащихся, что больше на 144 чел. в сравнении с 2017 годом.</w:t>
      </w:r>
    </w:p>
    <w:p w:rsidR="00D87FFE" w:rsidRPr="0098432C" w:rsidRDefault="00D87FFE" w:rsidP="00E034F8">
      <w:pPr>
        <w:spacing w:line="276" w:lineRule="auto"/>
        <w:ind w:firstLine="709"/>
      </w:pPr>
      <w:proofErr w:type="gramStart"/>
      <w:r w:rsidRPr="0098432C">
        <w:t>В первые</w:t>
      </w:r>
      <w:proofErr w:type="gramEnd"/>
      <w:r w:rsidRPr="0098432C">
        <w:t xml:space="preserve"> классы принято 698 человек, что на 11 человек больше, чем в 2017 году (687 чел.). В 10 классы принято 357 учащихся, что составило 65% от выпуска 9 классов. </w:t>
      </w:r>
      <w:r w:rsidRPr="0098432C">
        <w:lastRenderedPageBreak/>
        <w:t>Сформировано 13 классов для детей с ограниченными возможностями здоровья, в которых обучается 165 человек.</w:t>
      </w:r>
    </w:p>
    <w:p w:rsidR="00D87FFE" w:rsidRPr="0098432C" w:rsidRDefault="00D87FFE" w:rsidP="00E034F8">
      <w:pPr>
        <w:spacing w:line="276" w:lineRule="auto"/>
        <w:ind w:firstLine="709"/>
        <w:rPr>
          <w:bCs/>
        </w:rPr>
      </w:pPr>
      <w:r w:rsidRPr="0098432C">
        <w:rPr>
          <w:bCs/>
        </w:rPr>
        <w:t>В 2018 году 302 из 302 выпускников получили аттестат о среднем общем образовании, получено 2 стобалльных результата по русскому языку (в 2017 году – три стобалльных результата по двум предметам: русский язык и литература), медалями «За особые успехи в учении» награжден 41 выпускник (2017 год – 46 чел.)</w:t>
      </w:r>
      <w:r w:rsidRPr="0098432C">
        <w:t>.</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В Сосновоборском городском округе функционируют 5 муниципальных учреждений </w:t>
      </w:r>
      <w:r w:rsidRPr="0098432C">
        <w:rPr>
          <w:rFonts w:eastAsia="Times New Roman"/>
          <w:b/>
          <w:bCs/>
          <w:lang w:eastAsia="ru-RU"/>
        </w:rPr>
        <w:t>дополнительного образования</w:t>
      </w:r>
      <w:r w:rsidRPr="0098432C">
        <w:rPr>
          <w:rFonts w:eastAsia="Times New Roman"/>
          <w:bCs/>
          <w:lang w:eastAsia="ru-RU"/>
        </w:rPr>
        <w:t xml:space="preserve"> детей</w:t>
      </w:r>
      <w:r w:rsidRPr="0098432C">
        <w:rPr>
          <w:rFonts w:eastAsia="Times New Roman"/>
          <w:lang w:eastAsia="ru-RU"/>
        </w:rPr>
        <w:t xml:space="preserve"> (4 бюджетных и 1 </w:t>
      </w:r>
      <w:proofErr w:type="gramStart"/>
      <w:r w:rsidRPr="0098432C">
        <w:rPr>
          <w:rFonts w:eastAsia="Times New Roman"/>
          <w:lang w:eastAsia="ru-RU"/>
        </w:rPr>
        <w:t>автономное</w:t>
      </w:r>
      <w:proofErr w:type="gramEnd"/>
      <w:r w:rsidRPr="0098432C">
        <w:rPr>
          <w:rFonts w:eastAsia="Times New Roman"/>
          <w:lang w:eastAsia="ru-RU"/>
        </w:rPr>
        <w:t>): Центр информационных технологий, Центр развития творчества детей и юношества, Дом детского творчества, Детско-юношеская спортивная школа, Дом детско-юношеского туризма и экскурсий.</w:t>
      </w:r>
    </w:p>
    <w:p w:rsidR="00D87FFE" w:rsidRPr="0098432C" w:rsidRDefault="00D87FFE" w:rsidP="00E034F8">
      <w:pPr>
        <w:pStyle w:val="af2"/>
        <w:spacing w:after="0" w:line="276" w:lineRule="auto"/>
        <w:ind w:firstLine="709"/>
        <w:jc w:val="both"/>
        <w:rPr>
          <w:bCs/>
          <w:sz w:val="24"/>
          <w:szCs w:val="24"/>
        </w:rPr>
      </w:pPr>
      <w:r w:rsidRPr="0098432C">
        <w:rPr>
          <w:sz w:val="24"/>
          <w:szCs w:val="24"/>
        </w:rPr>
        <w:t xml:space="preserve">В учреждениях дополнительного образования занимается 5997 обучающихся, в том числе на бюджетной основе –4931. </w:t>
      </w:r>
      <w:r w:rsidRPr="0098432C">
        <w:rPr>
          <w:bCs/>
          <w:sz w:val="24"/>
          <w:szCs w:val="24"/>
        </w:rPr>
        <w:t xml:space="preserve">Охват детей и подростков от 5 до 18 лет дополнительными программами составляет 86 %. </w:t>
      </w:r>
    </w:p>
    <w:p w:rsidR="00D87FFE" w:rsidRPr="0098432C" w:rsidRDefault="00D87FFE" w:rsidP="00E034F8">
      <w:pPr>
        <w:spacing w:line="276" w:lineRule="auto"/>
        <w:ind w:firstLine="709"/>
      </w:pPr>
      <w:r w:rsidRPr="0098432C">
        <w:t>Всего за 2018год организациями дополнительного образования было проведено более 160 городских мероприятий, в которых приняли участие более 13 000 учащихся, а также приняли участие в 130 областных, региональных, всероссийских и международных мероприятиях – 3 202 участника, 621 призер и победитель.</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after="120" w:line="276" w:lineRule="auto"/>
        <w:jc w:val="center"/>
        <w:rPr>
          <w:rFonts w:eastAsia="Times New Roman"/>
          <w:b/>
          <w:bCs/>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9"/>
      </w:pPr>
      <w:r w:rsidRPr="0098432C">
        <w:rPr>
          <w:b/>
        </w:rPr>
        <w:t xml:space="preserve">Показатель 12. </w:t>
      </w:r>
      <w:proofErr w:type="gramStart"/>
      <w:r w:rsidRPr="0098432C">
        <w:t>Исключен</w:t>
      </w:r>
      <w:proofErr w:type="gramEnd"/>
      <w:r w:rsidRPr="0098432C">
        <w:t xml:space="preserve"> Постановлением Правительства РФ от 06.02.2017 № 142.</w:t>
      </w:r>
    </w:p>
    <w:p w:rsidR="00D87FFE" w:rsidRPr="0098432C" w:rsidRDefault="00D87FFE" w:rsidP="00E034F8">
      <w:pPr>
        <w:spacing w:line="276" w:lineRule="auto"/>
        <w:ind w:firstLine="709"/>
        <w:rPr>
          <w:b/>
        </w:rPr>
      </w:pPr>
    </w:p>
    <w:p w:rsidR="00D87FFE" w:rsidRPr="0098432C" w:rsidRDefault="00D87FFE" w:rsidP="00E034F8">
      <w:pPr>
        <w:spacing w:line="276" w:lineRule="auto"/>
        <w:ind w:firstLine="709"/>
        <w:rPr>
          <w:b/>
        </w:rPr>
      </w:pPr>
      <w:r w:rsidRPr="0098432C">
        <w:rPr>
          <w:b/>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87FFE" w:rsidRPr="0098432C" w:rsidRDefault="00D87FFE" w:rsidP="00E034F8">
      <w:pPr>
        <w:spacing w:line="276" w:lineRule="auto"/>
        <w:ind w:firstLine="709"/>
      </w:pPr>
      <w:r w:rsidRPr="0098432C">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0 % (в 2017 году – 0 %).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rPr>
        <w:t>В 2019-2021 годах планируется сохранить нулевое значение показателя.</w:t>
      </w:r>
    </w:p>
    <w:p w:rsidR="00D87FFE" w:rsidRPr="0098432C" w:rsidRDefault="00D87FFE" w:rsidP="00E034F8">
      <w:pPr>
        <w:spacing w:line="276" w:lineRule="auto"/>
        <w:ind w:firstLine="709"/>
      </w:pPr>
    </w:p>
    <w:p w:rsidR="00D87FFE" w:rsidRPr="0098432C" w:rsidRDefault="00D87FFE" w:rsidP="00E034F8">
      <w:pPr>
        <w:spacing w:line="276" w:lineRule="auto"/>
        <w:ind w:firstLine="709"/>
        <w:rPr>
          <w:b/>
        </w:rPr>
      </w:pPr>
      <w:r w:rsidRPr="0098432C">
        <w:rPr>
          <w:b/>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D87FFE" w:rsidRPr="0098432C" w:rsidRDefault="00D87FFE" w:rsidP="00E034F8">
      <w:pPr>
        <w:spacing w:line="276" w:lineRule="auto"/>
        <w:ind w:firstLine="709"/>
      </w:pPr>
      <w:r w:rsidRPr="0098432C">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100 %.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rPr>
        <w:t>В 2019-2021 годах планируется сохранить значение показателя, равное 100 %.</w:t>
      </w:r>
    </w:p>
    <w:p w:rsidR="00D87FFE" w:rsidRPr="0098432C" w:rsidRDefault="00D87FFE" w:rsidP="00E034F8">
      <w:pPr>
        <w:spacing w:line="276" w:lineRule="auto"/>
        <w:ind w:firstLine="709"/>
      </w:pPr>
    </w:p>
    <w:p w:rsidR="00D87FFE" w:rsidRPr="0098432C" w:rsidRDefault="00D87FFE" w:rsidP="00E034F8">
      <w:pPr>
        <w:spacing w:line="276" w:lineRule="auto"/>
        <w:ind w:firstLine="709"/>
        <w:rPr>
          <w:b/>
        </w:rPr>
      </w:pPr>
      <w:r w:rsidRPr="0098432C">
        <w:rPr>
          <w:b/>
        </w:rPr>
        <w:t>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D87FFE" w:rsidRPr="0098432C" w:rsidRDefault="00D87FFE" w:rsidP="00E034F8">
      <w:pPr>
        <w:spacing w:line="276" w:lineRule="auto"/>
        <w:ind w:firstLine="709"/>
      </w:pPr>
      <w:r w:rsidRPr="0098432C">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11,0 %.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pPr>
      <w:r w:rsidRPr="0098432C">
        <w:rPr>
          <w:rFonts w:eastAsia="Times New Roman"/>
          <w:lang w:eastAsia="ru-RU"/>
        </w:rPr>
        <w:lastRenderedPageBreak/>
        <w:t>Значение показателя на 2019-2021 годы планируется на уровне 11,0 % ежегодно.</w:t>
      </w:r>
    </w:p>
    <w:p w:rsidR="00D87FFE" w:rsidRPr="0098432C" w:rsidRDefault="00D87FFE" w:rsidP="00E034F8">
      <w:pPr>
        <w:spacing w:line="276" w:lineRule="auto"/>
        <w:ind w:firstLine="709"/>
      </w:pPr>
    </w:p>
    <w:p w:rsidR="00D87FFE" w:rsidRPr="00436A88" w:rsidRDefault="00D87FFE" w:rsidP="00E034F8">
      <w:pPr>
        <w:spacing w:line="276" w:lineRule="auto"/>
        <w:ind w:firstLine="709"/>
        <w:rPr>
          <w:b/>
        </w:rPr>
      </w:pPr>
      <w:r w:rsidRPr="00436A88">
        <w:rPr>
          <w:b/>
        </w:rPr>
        <w:t xml:space="preserve">Показатель 16. Доля детей первой и второй групп здоровья в общей </w:t>
      </w:r>
      <w:proofErr w:type="gramStart"/>
      <w:r w:rsidRPr="00436A88">
        <w:rPr>
          <w:b/>
        </w:rPr>
        <w:t>численности</w:t>
      </w:r>
      <w:proofErr w:type="gramEnd"/>
      <w:r w:rsidRPr="00436A88">
        <w:rPr>
          <w:b/>
        </w:rPr>
        <w:t xml:space="preserve"> обучающихся в муниципальных общеобразовательных учреждениях.</w:t>
      </w:r>
    </w:p>
    <w:p w:rsidR="00D87FFE" w:rsidRPr="00436A88" w:rsidRDefault="00D87FFE" w:rsidP="00E034F8">
      <w:pPr>
        <w:spacing w:line="276" w:lineRule="auto"/>
        <w:ind w:firstLine="708"/>
      </w:pPr>
      <w:r w:rsidRPr="00436A88">
        <w:t xml:space="preserve">Доля детей I и II групп здоровья в общей </w:t>
      </w:r>
      <w:proofErr w:type="gramStart"/>
      <w:r w:rsidRPr="00436A88">
        <w:t>численности</w:t>
      </w:r>
      <w:proofErr w:type="gramEnd"/>
      <w:r w:rsidRPr="00436A88">
        <w:t xml:space="preserve"> обучающихся в муниципальных  общеобразовательных учреждениях в 2018 году составила 74,1 %, что на 0,1 % больше, чем в 2017 году. Данный показатель указывает на то, что в общеобразовательных учреждениях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w:t>
      </w:r>
    </w:p>
    <w:p w:rsidR="00D87FFE" w:rsidRPr="00436A88" w:rsidRDefault="00D87FFE" w:rsidP="00E034F8">
      <w:pPr>
        <w:spacing w:line="276" w:lineRule="auto"/>
        <w:ind w:firstLine="708"/>
        <w:rPr>
          <w:rFonts w:eastAsia="Times New Roman"/>
          <w:u w:val="single"/>
          <w:lang w:eastAsia="ru-RU"/>
        </w:rPr>
      </w:pPr>
      <w:r w:rsidRPr="00436A88">
        <w:rPr>
          <w:rFonts w:eastAsia="Times New Roman"/>
          <w:u w:val="single"/>
          <w:lang w:eastAsia="ru-RU"/>
        </w:rPr>
        <w:t>Прогноз на трехлетний период</w:t>
      </w:r>
    </w:p>
    <w:p w:rsidR="00D87FFE" w:rsidRPr="00436A88" w:rsidRDefault="00D87FFE" w:rsidP="00E034F8">
      <w:pPr>
        <w:spacing w:line="276" w:lineRule="auto"/>
        <w:ind w:firstLine="708"/>
        <w:rPr>
          <w:rFonts w:eastAsia="Times New Roman"/>
          <w:lang w:eastAsia="ru-RU"/>
        </w:rPr>
      </w:pPr>
      <w:r w:rsidRPr="00436A88">
        <w:rPr>
          <w:rFonts w:eastAsia="Times New Roman"/>
          <w:lang w:eastAsia="ru-RU"/>
        </w:rPr>
        <w:t>На 2019-2021 годы запланирована небольшая положительная динамика показателя.</w:t>
      </w:r>
    </w:p>
    <w:p w:rsidR="00D87FFE" w:rsidRPr="0098432C" w:rsidRDefault="00D87FFE" w:rsidP="00E034F8">
      <w:pPr>
        <w:spacing w:line="276" w:lineRule="auto"/>
        <w:ind w:firstLine="709"/>
      </w:pPr>
    </w:p>
    <w:p w:rsidR="00D87FFE" w:rsidRPr="0098432C" w:rsidRDefault="00D87FFE" w:rsidP="00E034F8">
      <w:pPr>
        <w:pStyle w:val="ae"/>
        <w:spacing w:line="276" w:lineRule="auto"/>
        <w:ind w:firstLine="709"/>
        <w:jc w:val="both"/>
        <w:rPr>
          <w:rFonts w:ascii="Times New Roman" w:hAnsi="Times New Roman"/>
          <w:b/>
          <w:szCs w:val="24"/>
          <w:lang w:val="ru-RU"/>
        </w:rPr>
      </w:pPr>
      <w:r w:rsidRPr="0098432C">
        <w:rPr>
          <w:rFonts w:ascii="Times New Roman" w:hAnsi="Times New Roman"/>
          <w:b/>
          <w:szCs w:val="24"/>
          <w:lang w:val="ru-RU"/>
        </w:rPr>
        <w:t xml:space="preserve">Показатель 17. Доля обучающихся в муниципальных общеобразовательных учреждениях, занимающихся во вторую (третью) смену, в общей </w:t>
      </w:r>
      <w:proofErr w:type="gramStart"/>
      <w:r w:rsidRPr="0098432C">
        <w:rPr>
          <w:rFonts w:ascii="Times New Roman" w:hAnsi="Times New Roman"/>
          <w:b/>
          <w:szCs w:val="24"/>
          <w:lang w:val="ru-RU"/>
        </w:rPr>
        <w:t>численности</w:t>
      </w:r>
      <w:proofErr w:type="gramEnd"/>
      <w:r w:rsidRPr="0098432C">
        <w:rPr>
          <w:rFonts w:ascii="Times New Roman" w:hAnsi="Times New Roman"/>
          <w:b/>
          <w:szCs w:val="24"/>
          <w:lang w:val="ru-RU"/>
        </w:rPr>
        <w:t xml:space="preserve"> обучающихся в муниципальных общеобразовательных учреждениях.</w:t>
      </w:r>
    </w:p>
    <w:p w:rsidR="00D87FFE" w:rsidRPr="0098432C" w:rsidRDefault="00D87FFE" w:rsidP="00E034F8">
      <w:pPr>
        <w:pStyle w:val="ae"/>
        <w:spacing w:line="276" w:lineRule="auto"/>
        <w:ind w:firstLine="709"/>
        <w:jc w:val="both"/>
        <w:rPr>
          <w:rStyle w:val="20"/>
          <w:rFonts w:ascii="Times New Roman" w:hAnsi="Times New Roman"/>
          <w:szCs w:val="24"/>
          <w:lang w:val="ru-RU"/>
        </w:rPr>
      </w:pPr>
      <w:proofErr w:type="gramStart"/>
      <w:r w:rsidRPr="0098432C">
        <w:rPr>
          <w:rStyle w:val="20"/>
          <w:rFonts w:ascii="Times New Roman" w:hAnsi="Times New Roman"/>
          <w:szCs w:val="24"/>
          <w:lang w:val="ru-RU"/>
        </w:rPr>
        <w:t>В</w:t>
      </w:r>
      <w:proofErr w:type="gramEnd"/>
      <w:r w:rsidRPr="0098432C">
        <w:rPr>
          <w:rStyle w:val="20"/>
          <w:rFonts w:ascii="Times New Roman" w:hAnsi="Times New Roman"/>
          <w:szCs w:val="24"/>
          <w:lang w:val="ru-RU"/>
        </w:rPr>
        <w:t xml:space="preserve"> </w:t>
      </w:r>
      <w:proofErr w:type="gramStart"/>
      <w:r w:rsidRPr="0098432C">
        <w:rPr>
          <w:rStyle w:val="20"/>
          <w:rFonts w:ascii="Times New Roman" w:hAnsi="Times New Roman"/>
          <w:szCs w:val="24"/>
          <w:lang w:val="ru-RU"/>
        </w:rPr>
        <w:t>Сосновоборском</w:t>
      </w:r>
      <w:proofErr w:type="gramEnd"/>
      <w:r w:rsidRPr="0098432C">
        <w:rPr>
          <w:rStyle w:val="20"/>
          <w:rFonts w:ascii="Times New Roman" w:hAnsi="Times New Roman"/>
          <w:szCs w:val="24"/>
          <w:lang w:val="ru-RU"/>
        </w:rPr>
        <w:t xml:space="preserve"> городском округе все образовательные учреждения работают в одну смену, занимающиеся во </w:t>
      </w:r>
      <w:r w:rsidRPr="0098432C">
        <w:rPr>
          <w:rStyle w:val="20"/>
          <w:rFonts w:ascii="Times New Roman" w:hAnsi="Times New Roman"/>
          <w:szCs w:val="24"/>
        </w:rPr>
        <w:t>II</w:t>
      </w:r>
      <w:r w:rsidRPr="0098432C">
        <w:rPr>
          <w:rStyle w:val="20"/>
          <w:rFonts w:ascii="Times New Roman" w:hAnsi="Times New Roman"/>
          <w:szCs w:val="24"/>
          <w:lang w:val="ru-RU"/>
        </w:rPr>
        <w:t xml:space="preserve"> и </w:t>
      </w:r>
      <w:r w:rsidRPr="0098432C">
        <w:rPr>
          <w:rStyle w:val="20"/>
          <w:rFonts w:ascii="Times New Roman" w:hAnsi="Times New Roman"/>
          <w:szCs w:val="24"/>
        </w:rPr>
        <w:t>III</w:t>
      </w:r>
      <w:r w:rsidRPr="0098432C">
        <w:rPr>
          <w:rStyle w:val="20"/>
          <w:rFonts w:ascii="Times New Roman" w:hAnsi="Times New Roman"/>
          <w:szCs w:val="24"/>
          <w:lang w:val="ru-RU"/>
        </w:rPr>
        <w:t xml:space="preserve"> смены отсутствуют.</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rPr>
        <w:t>В 2019-2021 годах планируется сохранить нулевое значение показателя.</w:t>
      </w:r>
    </w:p>
    <w:p w:rsidR="00D87FFE" w:rsidRPr="0098432C" w:rsidRDefault="00D87FFE" w:rsidP="00E034F8">
      <w:pPr>
        <w:pStyle w:val="ae"/>
        <w:spacing w:line="276" w:lineRule="auto"/>
        <w:ind w:firstLine="709"/>
        <w:jc w:val="both"/>
        <w:rPr>
          <w:rFonts w:ascii="Times New Roman" w:hAnsi="Times New Roman"/>
          <w:szCs w:val="24"/>
          <w:lang w:val="ru-RU"/>
        </w:rPr>
      </w:pPr>
    </w:p>
    <w:p w:rsidR="00D87FFE" w:rsidRPr="0098432C" w:rsidRDefault="00D87FFE" w:rsidP="00E034F8">
      <w:pPr>
        <w:spacing w:line="276" w:lineRule="auto"/>
        <w:ind w:firstLine="709"/>
        <w:rPr>
          <w:b/>
        </w:rPr>
      </w:pPr>
      <w:r w:rsidRPr="0098432C">
        <w:rPr>
          <w:b/>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D87FFE" w:rsidRPr="0098432C" w:rsidRDefault="00D87FFE" w:rsidP="00E034F8">
      <w:pPr>
        <w:spacing w:line="276" w:lineRule="auto"/>
        <w:ind w:firstLine="708"/>
      </w:pPr>
      <w:r w:rsidRPr="0098432C">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2018 году составили 13,14 тыс. руб., что ниже уровня 2018 года на 23,5 %. Снижение показателя обусловлено высокой долей капитальных вложений в объекты спортивных сооружений образовательных учреждений в 2017 году.</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На 2019-2021 годы запланирована положительная динамика показателя.</w:t>
      </w:r>
    </w:p>
    <w:p w:rsidR="00D87FFE" w:rsidRPr="0098432C" w:rsidRDefault="00D87FFE" w:rsidP="00E034F8">
      <w:pPr>
        <w:spacing w:line="276" w:lineRule="auto"/>
        <w:ind w:firstLine="709"/>
      </w:pPr>
    </w:p>
    <w:p w:rsidR="00D87FFE" w:rsidRPr="0098432C" w:rsidRDefault="00D87FFE" w:rsidP="00E034F8">
      <w:pPr>
        <w:spacing w:line="276" w:lineRule="auto"/>
        <w:ind w:firstLine="709"/>
        <w:rPr>
          <w:b/>
        </w:rPr>
      </w:pPr>
      <w:r w:rsidRPr="0098432C">
        <w:rPr>
          <w:b/>
        </w:rPr>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87FFE" w:rsidRPr="0098432C" w:rsidRDefault="00D87FFE" w:rsidP="00E034F8">
      <w:pPr>
        <w:spacing w:line="276" w:lineRule="auto"/>
        <w:ind w:firstLine="708"/>
      </w:pPr>
      <w:r w:rsidRPr="0098432C">
        <w:t>В 2018 году доля детей в возрасте 5-18 лет, занимающихся в учреждениях дополнительного образования, составила 82,5 %, рост на 0,5 % по сравнению с прошлым годом.</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На 2019-2021 годы запланирована положительная динамика показателя.</w:t>
      </w:r>
    </w:p>
    <w:p w:rsidR="00D87FFE" w:rsidRPr="0098432C" w:rsidRDefault="00D87FFE" w:rsidP="00E034F8">
      <w:pPr>
        <w:spacing w:line="276" w:lineRule="auto"/>
        <w:ind w:firstLine="709"/>
      </w:pP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val="en-US" w:eastAsia="ru-RU"/>
        </w:rPr>
        <w:lastRenderedPageBreak/>
        <w:t>IV</w:t>
      </w:r>
      <w:r w:rsidRPr="0098432C">
        <w:rPr>
          <w:rFonts w:eastAsia="Times New Roman"/>
          <w:b/>
          <w:sz w:val="28"/>
          <w:szCs w:val="28"/>
          <w:lang w:eastAsia="ru-RU"/>
        </w:rPr>
        <w:t>. Культура</w:t>
      </w:r>
    </w:p>
    <w:p w:rsidR="00D87FFE" w:rsidRPr="0098432C" w:rsidRDefault="00D87FFE" w:rsidP="00E034F8">
      <w:pPr>
        <w:keepNext/>
        <w:spacing w:after="120" w:line="276" w:lineRule="auto"/>
        <w:jc w:val="center"/>
        <w:rPr>
          <w:rFonts w:eastAsia="Times New Roman"/>
          <w:b/>
          <w:caps/>
          <w:sz w:val="28"/>
          <w:szCs w:val="28"/>
          <w:lang w:bidi="en-US"/>
        </w:rPr>
      </w:pPr>
      <w:r w:rsidRPr="0098432C">
        <w:rPr>
          <w:rFonts w:eastAsia="Times New Roman"/>
          <w:b/>
          <w:sz w:val="28"/>
          <w:szCs w:val="28"/>
          <w:lang w:bidi="en-US"/>
        </w:rPr>
        <w:t>Характеристика отрасли</w:t>
      </w:r>
    </w:p>
    <w:p w:rsidR="00D87FFE" w:rsidRPr="0098432C" w:rsidRDefault="00D87FFE" w:rsidP="00E034F8">
      <w:pPr>
        <w:spacing w:line="276" w:lineRule="auto"/>
        <w:ind w:firstLine="709"/>
      </w:pPr>
      <w:r w:rsidRPr="0098432C">
        <w:t xml:space="preserve">Сеть муниципальных учреждений культуры – 10 учреждений.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D87FFE" w:rsidRPr="0098432C" w:rsidRDefault="00D87FFE" w:rsidP="00E034F8">
      <w:pPr>
        <w:spacing w:line="276" w:lineRule="auto"/>
        <w:ind w:firstLine="709"/>
      </w:pPr>
      <w:r w:rsidRPr="0098432C">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D87FFE" w:rsidRPr="0098432C" w:rsidRDefault="00D87FFE" w:rsidP="00E034F8">
      <w:pPr>
        <w:spacing w:line="276" w:lineRule="auto"/>
        <w:ind w:firstLine="709"/>
      </w:pPr>
      <w:r w:rsidRPr="0098432C">
        <w:t xml:space="preserve">Среднесписочная численность работников за 2018 год составила 393,6 человека, что на 13,4 человека больше, чем за 2017 год. </w:t>
      </w:r>
    </w:p>
    <w:p w:rsidR="00D87FFE" w:rsidRPr="0098432C" w:rsidRDefault="00D87FFE" w:rsidP="00E034F8">
      <w:pPr>
        <w:pStyle w:val="af5"/>
        <w:spacing w:line="276" w:lineRule="auto"/>
        <w:ind w:firstLine="709"/>
        <w:jc w:val="both"/>
        <w:rPr>
          <w:sz w:val="24"/>
          <w:szCs w:val="24"/>
        </w:rPr>
      </w:pPr>
      <w:r w:rsidRPr="0098432C">
        <w:rPr>
          <w:sz w:val="24"/>
          <w:szCs w:val="24"/>
        </w:rPr>
        <w:t xml:space="preserve">На конец отчетного периода количество клубных формирований составляет 109, что на 4 формирования больше, чем за 2017 год. Число участников клубных формирований - 2109 человек, что на 115 человек меньше, чем показатель за 2017 год. За отчётный период учреждениями культуры было проведено 1 887 мероприятий, что на 72 мероприятия больше, чем в аналогичном периоде предыдущего года. Количество обучающихся в школах искусств составляет 835 человек, что меньше показателя за 2017 год на 90 человек. Количество читателей в городской публичной библиотеке в отчетном периоде составило 21 255 человек, что на 1394 человек больше, по сравнению с аналогичным периодом 2017 года. Количество посещений библиотеки составило 102 861, что на 5 609 посещений больше по сравнению с прошлым годом. Количество посещений музея составило 7336 человек, что на 302 человека меньше в сравнении с аналогичным периодом 2017 года. </w:t>
      </w:r>
    </w:p>
    <w:p w:rsidR="00D87FFE" w:rsidRPr="0098432C" w:rsidRDefault="00D87FFE" w:rsidP="00E034F8">
      <w:pPr>
        <w:spacing w:line="276" w:lineRule="auto"/>
        <w:ind w:firstLine="709"/>
      </w:pPr>
      <w:r w:rsidRPr="0098432C">
        <w:t xml:space="preserve">В 2018 году была разработана и утверждена новая муниципальная программа «Культура Сосновоборского городского округа на 2019-2024 годы». </w:t>
      </w:r>
    </w:p>
    <w:p w:rsidR="00D87FFE" w:rsidRPr="0098432C" w:rsidRDefault="00D87FFE" w:rsidP="00E034F8">
      <w:pPr>
        <w:spacing w:line="276" w:lineRule="auto"/>
        <w:ind w:firstLine="709"/>
      </w:pPr>
      <w:r w:rsidRPr="0098432C">
        <w:t xml:space="preserve">Муниципальная программа включает в себя пять подпрограмм и соответствует государственной программе «Развитие культуры Ленинградской области». </w:t>
      </w:r>
    </w:p>
    <w:p w:rsidR="00D87FFE" w:rsidRPr="0098432C" w:rsidRDefault="00D87FFE" w:rsidP="00E034F8">
      <w:pPr>
        <w:spacing w:line="276" w:lineRule="auto"/>
        <w:ind w:firstLine="709"/>
      </w:pPr>
      <w:r w:rsidRPr="0098432C">
        <w:t xml:space="preserve">Для педагогических работников школ искусств размер средней заработной платы на 2018 год установлен 43 446,22 рубля. Установленный </w:t>
      </w:r>
      <w:proofErr w:type="gramStart"/>
      <w:r w:rsidRPr="0098432C">
        <w:t>показатель</w:t>
      </w:r>
      <w:proofErr w:type="gramEnd"/>
      <w:r w:rsidRPr="0098432C">
        <w:t xml:space="preserve"> достигнут учреждениями дополнительного образования в сфере культуры на 101 % и составил 43 841,51 рублей. </w:t>
      </w:r>
    </w:p>
    <w:p w:rsidR="00D87FFE" w:rsidRPr="0098432C" w:rsidRDefault="00D87FFE" w:rsidP="00E034F8">
      <w:pPr>
        <w:pStyle w:val="af4"/>
        <w:spacing w:line="276" w:lineRule="auto"/>
        <w:ind w:left="0" w:firstLine="709"/>
        <w:jc w:val="both"/>
        <w:rPr>
          <w:sz w:val="24"/>
          <w:szCs w:val="24"/>
        </w:rPr>
      </w:pPr>
      <w:r w:rsidRPr="0098432C">
        <w:rPr>
          <w:sz w:val="24"/>
          <w:szCs w:val="24"/>
        </w:rPr>
        <w:t>В 2018 году размер среднемесячной заработной платы для работников учреждений культуры установлен в размере 40 843,50 рублей. Учреждения культуры в отчетном периоде достигли установленных показателей в полном объеме. Среднемесячная заработная плата учреждений культуры за 2018 год составила 41 841,36</w:t>
      </w:r>
      <w:r w:rsidRPr="0098432C">
        <w:rPr>
          <w:b/>
          <w:sz w:val="24"/>
          <w:szCs w:val="24"/>
        </w:rPr>
        <w:t xml:space="preserve"> </w:t>
      </w:r>
      <w:r w:rsidRPr="0098432C">
        <w:rPr>
          <w:sz w:val="24"/>
          <w:szCs w:val="24"/>
        </w:rPr>
        <w:t xml:space="preserve">рублей, что составляет 102,4%. </w:t>
      </w:r>
    </w:p>
    <w:p w:rsidR="00D87FFE" w:rsidRPr="0098432C" w:rsidRDefault="00D87FFE" w:rsidP="00E034F8">
      <w:pPr>
        <w:spacing w:line="276" w:lineRule="auto"/>
        <w:ind w:firstLine="709"/>
        <w:rPr>
          <w:rFonts w:eastAsia="Times New Roman"/>
          <w:b/>
          <w:bCs/>
          <w:lang w:eastAsia="ru-RU"/>
        </w:rPr>
      </w:pP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8"/>
        <w:rPr>
          <w:rFonts w:eastAsia="Times New Roman"/>
          <w:b/>
          <w:bCs/>
          <w:lang w:eastAsia="ru-RU"/>
        </w:rPr>
      </w:pPr>
      <w:r w:rsidRPr="0098432C">
        <w:rPr>
          <w:rFonts w:eastAsia="Times New Roman"/>
          <w:b/>
          <w:bCs/>
          <w:lang w:eastAsia="ru-RU"/>
        </w:rPr>
        <w:t>Показатель 20. Уровень фактической обеспеченности учреждениями культуры от нормативной потребности: клубов и учреждений клубного типа, библиотек, парков культуры и отдыха:</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клубами и учреждениями клубного типа – 147 %;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библиотеками – 117 %;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парками культуры и отдыха – 29 %.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Общее количество учреждений данных типов в округе сохраняется.</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Уровень обеспеченности учреждениями культуры от нормативной потребности планируется сохранить на прежнем уровне.</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 xml:space="preserve">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D87FFE" w:rsidRPr="0098432C" w:rsidRDefault="00D87FFE" w:rsidP="00E034F8">
      <w:pPr>
        <w:spacing w:line="276" w:lineRule="auto"/>
        <w:ind w:firstLine="709"/>
        <w:rPr>
          <w:rFonts w:eastAsia="Times New Roman"/>
          <w:b/>
          <w:bCs/>
          <w:lang w:eastAsia="ru-RU"/>
        </w:rPr>
      </w:pPr>
      <w:r w:rsidRPr="0098432C">
        <w:rPr>
          <w:rFonts w:eastAsia="Times New Roman"/>
          <w:bCs/>
          <w:lang w:eastAsia="ru-RU"/>
        </w:rPr>
        <w:t>- зданий муниципальных учреждений культуры, находящихся в аварийном состоянии нет;</w:t>
      </w:r>
    </w:p>
    <w:p w:rsidR="00D87FFE" w:rsidRPr="0098432C" w:rsidRDefault="00D87FFE" w:rsidP="00E034F8">
      <w:pPr>
        <w:spacing w:line="276" w:lineRule="auto"/>
        <w:ind w:firstLine="709"/>
        <w:rPr>
          <w:rFonts w:eastAsia="Times New Roman"/>
          <w:b/>
          <w:bCs/>
          <w:lang w:eastAsia="ru-RU"/>
        </w:rPr>
      </w:pPr>
      <w:r w:rsidRPr="0098432C">
        <w:rPr>
          <w:rFonts w:eastAsia="Times New Roman"/>
          <w:bCs/>
          <w:lang w:eastAsia="ru-RU"/>
        </w:rPr>
        <w:t>- здания муниципальных учреждений культуры, требующие капитального ремонта – 3 объекта, что составляет 30 % в общем количестве муниципальных учреждений культуры.</w:t>
      </w:r>
    </w:p>
    <w:p w:rsidR="00D87FFE" w:rsidRPr="0098432C" w:rsidRDefault="00D87FFE" w:rsidP="00E034F8">
      <w:pPr>
        <w:spacing w:line="276" w:lineRule="auto"/>
        <w:ind w:firstLine="708"/>
      </w:pPr>
      <w:r w:rsidRPr="0098432C">
        <w:rPr>
          <w:rFonts w:eastAsia="Times New Roman"/>
          <w:bCs/>
          <w:lang w:eastAsia="ru-RU"/>
        </w:rPr>
        <w:t xml:space="preserve">В 2018 году проведены все плановые ремонты объектов учреждений культуры в рамках муниципальной программы «Культура Сосновоборского городского округа на 2014-2020 годы». </w:t>
      </w:r>
      <w:r w:rsidRPr="0098432C">
        <w:t>Все запланированные на 2018 год работы выполнены.</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contextualSpacing/>
        <w:rPr>
          <w:rFonts w:eastAsia="Times New Roman"/>
          <w:bCs/>
          <w:lang w:eastAsia="ru-RU"/>
        </w:rPr>
      </w:pPr>
      <w:r w:rsidRPr="0098432C">
        <w:rPr>
          <w:rFonts w:eastAsia="Times New Roman"/>
          <w:bCs/>
          <w:lang w:eastAsia="ru-RU"/>
        </w:rPr>
        <w:t>Зданий муниципальных учреждений культуры, находящихся в аварийном состоянии не будет. Для предотвращения аварийного состояния зданий действует муниципальная программа «Развитие культуры Сосновоборского городского округа на 2019-2024 годы».</w:t>
      </w:r>
    </w:p>
    <w:p w:rsidR="00D87FFE" w:rsidRPr="0098432C" w:rsidRDefault="00D87FFE" w:rsidP="00E034F8">
      <w:pPr>
        <w:spacing w:line="276" w:lineRule="auto"/>
        <w:ind w:firstLine="708"/>
        <w:contextualSpacing/>
        <w:rPr>
          <w:rFonts w:eastAsia="Times New Roman"/>
          <w:bCs/>
          <w:lang w:eastAsia="ru-RU"/>
        </w:rPr>
      </w:pPr>
      <w:r w:rsidRPr="0098432C">
        <w:rPr>
          <w:rFonts w:eastAsia="Times New Roman"/>
          <w:bCs/>
          <w:lang w:eastAsia="ru-RU"/>
        </w:rPr>
        <w:t xml:space="preserve">В 2018 году в комитет по культуре Ленинградской области была направлена заявка на включение в 2019 году в государственную программу по капитальным ремонтам объектов учреждений культуры городских поселений МБУ «СГПБ» на проведение работ по капитальному ремонту помещений библиотеки семейного чтения. Также планируется проведение подготовительных работ для проведения капитального ремонта здания МАУК «ГТЦ», СМБУК «ЦРЛ «Гармония» и МАУК «ДК «Строитель». </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 xml:space="preserve">Доля муниципальных учреждений культуры, здания которых требуют капитального ремонта, в общем количестве муниципальных учреждений культуры на плановый период составят: </w:t>
      </w:r>
      <w:r w:rsidRPr="0098432C">
        <w:rPr>
          <w:rFonts w:eastAsia="Times New Roman"/>
          <w:lang w:eastAsia="ru-RU"/>
        </w:rPr>
        <w:t>2019 год – 40 %, 2020 год – 20 %, 2021 год – 0%.</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Все объекты культурного наследия, находящиеся на территории Сосновоборского городского округа, относятся к объектам культурного наследия регионального значения; объектов, находящихся в муниципальной собственности, нет. Имеются лишь выявленные объекты культурного наследия, которые пока не включены в реестр культурного наследия.</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В 2019-2021 годах объектов культурного наследия, находящихся в муниципальной собственности и требующих консервации или реставрации, не предвидится.</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after="120" w:line="276" w:lineRule="auto"/>
        <w:jc w:val="center"/>
        <w:rPr>
          <w:rFonts w:eastAsia="Times New Roman"/>
          <w:b/>
          <w:sz w:val="28"/>
          <w:szCs w:val="28"/>
          <w:lang w:bidi="en-US"/>
        </w:rPr>
      </w:pPr>
      <w:r w:rsidRPr="0098432C">
        <w:rPr>
          <w:rFonts w:eastAsia="Times New Roman"/>
          <w:b/>
          <w:sz w:val="28"/>
          <w:szCs w:val="28"/>
          <w:lang w:val="en-US" w:bidi="en-US"/>
        </w:rPr>
        <w:t>V</w:t>
      </w:r>
      <w:r w:rsidRPr="0098432C">
        <w:rPr>
          <w:rFonts w:eastAsia="Times New Roman"/>
          <w:b/>
          <w:sz w:val="28"/>
          <w:szCs w:val="28"/>
          <w:lang w:bidi="en-US"/>
        </w:rPr>
        <w:t>. Физическая культура и спорт</w:t>
      </w:r>
    </w:p>
    <w:p w:rsidR="00D87FFE" w:rsidRPr="0098432C" w:rsidRDefault="00D87FFE" w:rsidP="00E034F8">
      <w:pPr>
        <w:spacing w:after="120" w:line="276" w:lineRule="auto"/>
        <w:jc w:val="center"/>
        <w:rPr>
          <w:rFonts w:eastAsia="Times New Roman"/>
          <w:b/>
          <w:sz w:val="28"/>
          <w:szCs w:val="28"/>
          <w:lang w:bidi="en-US"/>
        </w:rPr>
      </w:pPr>
      <w:r w:rsidRPr="0098432C">
        <w:rPr>
          <w:rFonts w:eastAsia="Times New Roman"/>
          <w:b/>
          <w:sz w:val="28"/>
          <w:szCs w:val="28"/>
          <w:lang w:bidi="en-US"/>
        </w:rPr>
        <w:t>Характеристика отрасли</w:t>
      </w:r>
    </w:p>
    <w:p w:rsidR="00D87FFE" w:rsidRPr="0098432C" w:rsidRDefault="00D87FFE" w:rsidP="00E034F8">
      <w:pPr>
        <w:shd w:val="clear" w:color="auto" w:fill="FFFFFF"/>
        <w:spacing w:line="276" w:lineRule="auto"/>
        <w:ind w:firstLine="709"/>
      </w:pPr>
      <w:r w:rsidRPr="0098432C">
        <w:t xml:space="preserve">На территории Сосновоборского городского округа функционирует 193 </w:t>
      </w:r>
      <w:proofErr w:type="gramStart"/>
      <w:r w:rsidRPr="0098432C">
        <w:t>спортивных</w:t>
      </w:r>
      <w:proofErr w:type="gramEnd"/>
      <w:r w:rsidRPr="0098432C">
        <w:t xml:space="preserve"> объекта (100 % к уровню прошлого года) с единовременной пропускной способностью</w:t>
      </w:r>
      <w:r w:rsidRPr="0098432C">
        <w:rPr>
          <w:b/>
        </w:rPr>
        <w:t xml:space="preserve"> </w:t>
      </w:r>
      <w:r w:rsidRPr="0098432C">
        <w:t xml:space="preserve">3172 человека (108 % к уровню прошлого года). </w:t>
      </w:r>
    </w:p>
    <w:p w:rsidR="00D87FFE" w:rsidRPr="0098432C" w:rsidRDefault="00D87FFE" w:rsidP="00E034F8">
      <w:pPr>
        <w:shd w:val="clear" w:color="auto" w:fill="FFFFFF"/>
        <w:spacing w:line="276" w:lineRule="auto"/>
        <w:ind w:firstLine="709"/>
      </w:pPr>
      <w:proofErr w:type="gramStart"/>
      <w:r w:rsidRPr="0098432C">
        <w:t xml:space="preserve">В объекты входят 4 спортивных комплекса общей площадью 28434,7 кв. м (100% к уровню прошлого года), 1 детско-юношеская спортивная школа (50% к уровню прошлого года, ранее учитывали МАОУ ДО СКК «Малахит»), 36 спортивных залов общей площадью 10 942 </w:t>
      </w:r>
      <w:r w:rsidRPr="0098432C">
        <w:lastRenderedPageBreak/>
        <w:t>кв. м (100% к уровню прошлого года), 46 плоскостных спортивных сооружений общей площадью 62 404 кв.м. (100% к уровню прошлого года</w:t>
      </w:r>
      <w:proofErr w:type="gramEnd"/>
      <w:r w:rsidRPr="0098432C">
        <w:t>), 4 плавательных бассейна общей площадью 470 кв. м (100% к уро</w:t>
      </w:r>
      <w:bookmarkStart w:id="2" w:name="_GoBack"/>
      <w:bookmarkEnd w:id="2"/>
      <w:r w:rsidRPr="0098432C">
        <w:t>вню прошлого года) , 2 лыжные базы (100% к уровню прошлого года), 5 сооружений для стрелковых видов спорта (100% к уровню прошлого года) и 35 других спортивных сооружений (100 % к уровню прошлого года).</w:t>
      </w:r>
    </w:p>
    <w:p w:rsidR="00D87FFE" w:rsidRPr="0098432C" w:rsidRDefault="00D87FFE" w:rsidP="00E034F8">
      <w:pPr>
        <w:shd w:val="clear" w:color="auto" w:fill="FFFFFF"/>
        <w:spacing w:line="276" w:lineRule="auto"/>
        <w:ind w:firstLine="709"/>
      </w:pPr>
      <w:r w:rsidRPr="0098432C">
        <w:t>В оперативном управлении находится МАОУ ДО СКК «Малахит».</w:t>
      </w:r>
    </w:p>
    <w:p w:rsidR="00D87FFE" w:rsidRPr="0098432C" w:rsidRDefault="00D87FFE" w:rsidP="00E034F8">
      <w:pPr>
        <w:spacing w:line="276" w:lineRule="auto"/>
        <w:ind w:firstLine="709"/>
      </w:pPr>
      <w:r w:rsidRPr="0098432C">
        <w:t xml:space="preserve">На территории города развивается более 50 видов спорта. Численность занимающихся составляет 24618 человек (115,5% к уровню прошлого года), 6772 женщин (110,8% к уровню прошлого года), учащиеся и студенты, посещающие занятия по физической культуре в </w:t>
      </w:r>
      <w:proofErr w:type="spellStart"/>
      <w:r w:rsidRPr="0098432C">
        <w:t>спецмедгруппе</w:t>
      </w:r>
      <w:proofErr w:type="spellEnd"/>
      <w:r w:rsidRPr="0098432C">
        <w:t xml:space="preserve"> 1032 чел (109 % к уровню прошлого года). Численность занимающихся в специализированных спортивных учреждениях составляет 2563 человек (111 % к уровню прошлого года).</w:t>
      </w:r>
    </w:p>
    <w:p w:rsidR="00D87FFE" w:rsidRPr="0098432C" w:rsidRDefault="00D87FFE" w:rsidP="00E034F8">
      <w:pPr>
        <w:spacing w:line="276" w:lineRule="auto"/>
        <w:ind w:firstLine="709"/>
      </w:pPr>
      <w:r w:rsidRPr="0098432C">
        <w:t xml:space="preserve">В муниципальном образовании в течение 2018 года проведено 309 спортивно-массовых мероприятий (100 % к уровню прошлого года) из них 10 всероссийских, 13 областных. </w:t>
      </w:r>
    </w:p>
    <w:p w:rsidR="00D87FFE" w:rsidRPr="0098432C" w:rsidRDefault="00D87FFE" w:rsidP="00E034F8">
      <w:pPr>
        <w:pStyle w:val="af4"/>
        <w:spacing w:line="276" w:lineRule="auto"/>
        <w:ind w:left="0" w:firstLine="709"/>
        <w:rPr>
          <w:sz w:val="24"/>
          <w:szCs w:val="24"/>
        </w:rPr>
      </w:pPr>
    </w:p>
    <w:p w:rsidR="00D87FFE" w:rsidRPr="0098432C" w:rsidRDefault="00D87FFE" w:rsidP="00E034F8">
      <w:pPr>
        <w:spacing w:after="120" w:line="276" w:lineRule="auto"/>
        <w:jc w:val="center"/>
        <w:rPr>
          <w:rFonts w:eastAsia="Times New Roman"/>
          <w:b/>
          <w:bCs/>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23. Доля населения, систематически занимающегося физической культурой и спортом.</w:t>
      </w:r>
    </w:p>
    <w:p w:rsidR="00D87FFE" w:rsidRPr="0098432C" w:rsidRDefault="00D87FFE" w:rsidP="00E034F8">
      <w:pPr>
        <w:spacing w:line="276" w:lineRule="auto"/>
        <w:ind w:firstLine="709"/>
        <w:rPr>
          <w:rFonts w:eastAsia="Times New Roman"/>
          <w:b/>
          <w:bCs/>
          <w:lang w:eastAsia="ru-RU"/>
        </w:rPr>
      </w:pPr>
      <w:r w:rsidRPr="0098432C">
        <w:rPr>
          <w:rFonts w:eastAsia="Times New Roman"/>
          <w:lang w:eastAsia="ru-RU"/>
        </w:rPr>
        <w:t>Доля населения, систематически занимающегося физической культурой и спортом, в 2018 году увеличилась по сравнению с 2017 годом и составила 39,3 %.  Проведен комплекс спортивно-оздоровительных мероприятий по охране и укреплению здоровья детей, подростков и молодежи, повышению охвата детей, подростков и молодежи физической культурой и спортом, в том числе и по месту жительства.</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rPr>
      </w:pPr>
      <w:r w:rsidRPr="0098432C">
        <w:rPr>
          <w:rFonts w:eastAsia="Times New Roman"/>
          <w:lang w:eastAsia="ru-RU"/>
        </w:rPr>
        <w:t>В 2019-2021 годах долю населения, систематически занимающегося физической культурой и спортом, планируется увеличить с 43 до 50 %.</w:t>
      </w:r>
    </w:p>
    <w:p w:rsidR="00D87FFE" w:rsidRPr="0098432C" w:rsidRDefault="00D87FFE" w:rsidP="00E034F8">
      <w:pPr>
        <w:spacing w:line="276" w:lineRule="auto"/>
        <w:ind w:firstLine="709"/>
        <w:rPr>
          <w:rFonts w:eastAsia="Times New Roman"/>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 xml:space="preserve">Показатель 23.1. Доля </w:t>
      </w:r>
      <w:proofErr w:type="gramStart"/>
      <w:r w:rsidRPr="0098432C">
        <w:rPr>
          <w:rFonts w:eastAsia="Times New Roman"/>
          <w:b/>
          <w:bCs/>
          <w:lang w:eastAsia="ru-RU"/>
        </w:rPr>
        <w:t>обучающихся</w:t>
      </w:r>
      <w:proofErr w:type="gramEnd"/>
      <w:r w:rsidRPr="0098432C">
        <w:rPr>
          <w:rFonts w:eastAsia="Times New Roman"/>
          <w:b/>
          <w:bCs/>
          <w:lang w:eastAsia="ru-RU"/>
        </w:rPr>
        <w:t>, систематически занимающихся физической культурой и спортом, в общей численности обучающихся.</w:t>
      </w:r>
    </w:p>
    <w:p w:rsidR="00D87FFE" w:rsidRPr="0098432C" w:rsidRDefault="00D87FFE" w:rsidP="00E034F8">
      <w:pPr>
        <w:spacing w:line="276" w:lineRule="auto"/>
        <w:ind w:firstLine="709"/>
        <w:rPr>
          <w:rFonts w:eastAsia="Times New Roman"/>
          <w:b/>
          <w:bCs/>
          <w:lang w:eastAsia="ru-RU"/>
        </w:rPr>
      </w:pPr>
      <w:r w:rsidRPr="0098432C">
        <w:rPr>
          <w:rFonts w:eastAsia="Times New Roman"/>
          <w:lang w:eastAsia="ru-RU"/>
        </w:rPr>
        <w:t xml:space="preserve">Доля обучающихся, систематически занимающихся физической культурой и спортом, в общей </w:t>
      </w:r>
      <w:proofErr w:type="gramStart"/>
      <w:r w:rsidRPr="0098432C">
        <w:rPr>
          <w:rFonts w:eastAsia="Times New Roman"/>
          <w:lang w:eastAsia="ru-RU"/>
        </w:rPr>
        <w:t>численности</w:t>
      </w:r>
      <w:proofErr w:type="gramEnd"/>
      <w:r w:rsidRPr="0098432C">
        <w:rPr>
          <w:rFonts w:eastAsia="Times New Roman"/>
          <w:lang w:eastAsia="ru-RU"/>
        </w:rPr>
        <w:t xml:space="preserve"> обучающихся в 2018 году немного снизилась по сравнению с 2017 годом и составила 95,4 %.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rPr>
      </w:pPr>
      <w:r w:rsidRPr="0098432C">
        <w:rPr>
          <w:rFonts w:eastAsia="Times New Roman"/>
          <w:lang w:eastAsia="ru-RU"/>
        </w:rPr>
        <w:t>В 2019-2021 годах долю обучающихся, систематически занимающихся физической культурой и спортом, планируется обеспечить не ниже 90 %.</w:t>
      </w:r>
    </w:p>
    <w:p w:rsidR="00D87FFE" w:rsidRPr="0098432C" w:rsidRDefault="00D87FFE" w:rsidP="00E034F8">
      <w:pPr>
        <w:spacing w:line="276" w:lineRule="auto"/>
        <w:ind w:firstLine="709"/>
        <w:rPr>
          <w:rFonts w:eastAsia="Times New Roman"/>
        </w:rPr>
      </w:pP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val="en-US" w:eastAsia="ru-RU"/>
        </w:rPr>
        <w:t>VI</w:t>
      </w:r>
      <w:r w:rsidRPr="0098432C">
        <w:rPr>
          <w:rFonts w:eastAsia="Times New Roman"/>
          <w:b/>
          <w:sz w:val="28"/>
          <w:szCs w:val="28"/>
          <w:lang w:eastAsia="ru-RU"/>
        </w:rPr>
        <w:t>. Жилищное строительство и обеспечение граждан жильем</w:t>
      </w: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eastAsia="ru-RU"/>
        </w:rPr>
        <w:t>Характеристика отрасли</w:t>
      </w:r>
    </w:p>
    <w:p w:rsidR="00D87FFE" w:rsidRPr="0098432C" w:rsidRDefault="00D87FFE" w:rsidP="00E034F8">
      <w:pPr>
        <w:spacing w:line="276" w:lineRule="auto"/>
        <w:ind w:firstLine="709"/>
      </w:pPr>
      <w:r w:rsidRPr="0098432C">
        <w:t>За отчетный год в городе введено в эксплуатацию 216 квартир в многоквартирных жилых домах и 49 индивидуальных жилых домов общей площадью 21,7 тыс. кв. м., в аналогичном периоде предыдущего года введено 30 индивидуальных жилых домов общей площадью 5,4 тыс. кв. м.</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Средняя обеспеченность общей площадью на одного жителя Сосновоборского городского округа на 1.01.2019 составила 21,7 кв. м. (на 01.01.2018 года – 21,5 кв. м.).</w:t>
      </w:r>
    </w:p>
    <w:p w:rsidR="00D87FFE" w:rsidRPr="0098432C" w:rsidRDefault="00D87FFE" w:rsidP="00E034F8">
      <w:pPr>
        <w:spacing w:line="276" w:lineRule="auto"/>
        <w:ind w:firstLine="709"/>
      </w:pPr>
      <w:r w:rsidRPr="0098432C">
        <w:lastRenderedPageBreak/>
        <w:t>На 01.01.2019 на учете в качестве нуждающихся в жилых помещениях, предоставляемых по договорам социального найма, состоят 648 семей, в том числе льготной категории граждан – 204 семьи.</w:t>
      </w:r>
    </w:p>
    <w:p w:rsidR="00D87FFE" w:rsidRPr="0098432C" w:rsidRDefault="00D87FFE" w:rsidP="00E034F8">
      <w:pPr>
        <w:spacing w:line="276" w:lineRule="auto"/>
        <w:ind w:firstLine="709"/>
      </w:pPr>
      <w:r w:rsidRPr="0098432C">
        <w:t xml:space="preserve">За 2018 год </w:t>
      </w:r>
      <w:proofErr w:type="gramStart"/>
      <w:r w:rsidRPr="0098432C">
        <w:t>приняты</w:t>
      </w:r>
      <w:proofErr w:type="gramEnd"/>
      <w:r w:rsidRPr="0098432C">
        <w:t xml:space="preserve"> на учет в качестве нуждающихся в жилых помещениях, предоставляемых по договорам социального найма, 6 семей. Включен в очередь родителей 1 несовершеннолетний ребенок. </w:t>
      </w:r>
      <w:proofErr w:type="gramStart"/>
      <w:r w:rsidRPr="0098432C">
        <w:t>Сняты</w:t>
      </w:r>
      <w:proofErr w:type="gramEnd"/>
      <w:r w:rsidRPr="0098432C">
        <w:t xml:space="preserve"> с учета 146 семей.</w:t>
      </w:r>
    </w:p>
    <w:p w:rsidR="00D87FFE" w:rsidRPr="0098432C" w:rsidRDefault="00D87FFE" w:rsidP="00E034F8">
      <w:pPr>
        <w:spacing w:line="276" w:lineRule="auto"/>
        <w:ind w:firstLine="709"/>
      </w:pPr>
      <w:r w:rsidRPr="0098432C">
        <w:t xml:space="preserve">Признаны нуждающимися в улучшении жилищных условий (без принятия на учет) в целях участия в жилищных программах – 49 семей. </w:t>
      </w:r>
    </w:p>
    <w:p w:rsidR="00D87FFE" w:rsidRPr="0098432C" w:rsidRDefault="00D87FFE" w:rsidP="00E034F8">
      <w:pPr>
        <w:spacing w:line="276" w:lineRule="auto"/>
        <w:ind w:firstLine="709"/>
      </w:pPr>
      <w:r w:rsidRPr="0098432C">
        <w:t>В рамках реализации Национального проекта «Доступное и комфортное жилье – гражданам России»:</w:t>
      </w:r>
    </w:p>
    <w:p w:rsidR="00D87FFE" w:rsidRPr="0098432C" w:rsidRDefault="00D87FFE" w:rsidP="00E034F8">
      <w:pPr>
        <w:spacing w:line="276" w:lineRule="auto"/>
        <w:ind w:firstLine="709"/>
      </w:pPr>
      <w:r w:rsidRPr="0098432C">
        <w:t>а) Семьям ветеранов Великой Отечественной войны, ветеранов боевых действий, инвалидам, семьям, имеющим детей – инвалидов, жилые помещения/субсидии за 2018 год не предоставлялись.</w:t>
      </w:r>
    </w:p>
    <w:p w:rsidR="00D87FFE" w:rsidRPr="0098432C" w:rsidRDefault="00D87FFE" w:rsidP="00E034F8">
      <w:pPr>
        <w:pStyle w:val="27"/>
        <w:shd w:val="clear" w:color="auto" w:fill="auto"/>
        <w:spacing w:before="0" w:after="0" w:line="276" w:lineRule="auto"/>
        <w:ind w:firstLine="709"/>
        <w:jc w:val="both"/>
        <w:rPr>
          <w:rFonts w:ascii="Times New Roman" w:hAnsi="Times New Roman" w:cs="Times New Roman"/>
          <w:sz w:val="24"/>
          <w:szCs w:val="24"/>
        </w:rPr>
      </w:pPr>
      <w:r w:rsidRPr="0098432C">
        <w:rPr>
          <w:rFonts w:ascii="Times New Roman" w:hAnsi="Times New Roman" w:cs="Times New Roman"/>
          <w:sz w:val="24"/>
          <w:szCs w:val="24"/>
        </w:rPr>
        <w:t>б) В Правительство Ленинградской области представлены документы на получение государственных жилищных сертификатов 3 семьями -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Двум семьям в выдаче ГЖС отказано. Одна семья получила государственный жилищный сертификат. На 01.10.2018 средства сертификата реализованы. Семьей приобретено жилое помещение общей площадью 31,7 кв. м.</w:t>
      </w:r>
    </w:p>
    <w:p w:rsidR="00D87FFE" w:rsidRPr="0098432C" w:rsidRDefault="00D87FFE" w:rsidP="00E034F8">
      <w:pPr>
        <w:spacing w:line="276" w:lineRule="auto"/>
        <w:ind w:firstLine="709"/>
      </w:pPr>
      <w:r w:rsidRPr="0098432C">
        <w:t>в) 6 молодых семей-участников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стали претендентами на получение средств социальной выплаты. Свидетельства о праве на получение социальной выплаты выданы 30.03.2018. По состоянию на 01.01.2019 все семьи реализовали средства социальных выплат. Семьями приобретены жилые помещения общей площадью 405,6 кв. м.</w:t>
      </w:r>
    </w:p>
    <w:p w:rsidR="00D87FFE" w:rsidRPr="0098432C" w:rsidRDefault="00D87FFE" w:rsidP="00E034F8">
      <w:pPr>
        <w:spacing w:line="276" w:lineRule="auto"/>
        <w:ind w:firstLine="708"/>
        <w:rPr>
          <w:rFonts w:eastAsia="Times New Roman"/>
          <w:lang w:eastAsia="ru-RU"/>
        </w:rPr>
      </w:pP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eastAsia="ru-RU"/>
        </w:rPr>
        <w:t>Показатели</w:t>
      </w: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 xml:space="preserve">Показатель 24. Общая площадь жилых помещений, приходящаяся в среднем на одного жителя – всего, </w:t>
      </w: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 xml:space="preserve">в том числе </w:t>
      </w:r>
      <w:proofErr w:type="gramStart"/>
      <w:r w:rsidRPr="0098432C">
        <w:rPr>
          <w:rFonts w:eastAsia="Times New Roman"/>
          <w:b/>
          <w:lang w:eastAsia="ru-RU"/>
        </w:rPr>
        <w:t>введенная</w:t>
      </w:r>
      <w:proofErr w:type="gramEnd"/>
      <w:r w:rsidRPr="0098432C">
        <w:rPr>
          <w:rFonts w:eastAsia="Times New Roman"/>
          <w:b/>
          <w:lang w:eastAsia="ru-RU"/>
        </w:rPr>
        <w:t xml:space="preserve"> в действие за один год.</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Средняя обеспеченность общей площадью на одного жителя Сосновоборского городского округа в 2018 году немного увеличилась по сравнению с 2017 годом и составила 21,71 кв. м. (в 2017 году – 21,5 кв. м.).</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том числе площадь жилых помещений, введённая в действие за 2018 год – 0,31 кв.м., что в 3 раза больше, чем за 2017 год (0,1 кв. м).</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Общая площадь жилых помещений, приходящаяся в среднем на одного жителя, с учетом планируемого ввода жилья составит:</w:t>
      </w:r>
    </w:p>
    <w:p w:rsidR="00D87FFE" w:rsidRPr="0098432C" w:rsidRDefault="00D87FFE" w:rsidP="00E034F8">
      <w:pPr>
        <w:spacing w:line="276" w:lineRule="auto"/>
        <w:ind w:firstLine="708"/>
        <w:rPr>
          <w:rFonts w:eastAsia="Times New Roman"/>
          <w:lang w:eastAsia="ru-RU"/>
        </w:rPr>
      </w:pPr>
      <w:proofErr w:type="gramStart"/>
      <w:r w:rsidRPr="0098432C">
        <w:rPr>
          <w:rFonts w:eastAsia="Times New Roman"/>
          <w:lang w:eastAsia="ru-RU"/>
        </w:rPr>
        <w:t>2019 год – 22,58 кв. м.</w:t>
      </w:r>
      <w:r w:rsidRPr="0098432C">
        <w:rPr>
          <w:rFonts w:eastAsia="Times New Roman"/>
          <w:u w:val="single"/>
          <w:lang w:eastAsia="ru-RU"/>
        </w:rPr>
        <w:t xml:space="preserve">, </w:t>
      </w:r>
      <w:r w:rsidRPr="0098432C">
        <w:rPr>
          <w:rFonts w:eastAsia="Times New Roman"/>
          <w:lang w:eastAsia="ru-RU"/>
        </w:rPr>
        <w:t>2020 год – 22,6 кв. м.</w:t>
      </w:r>
      <w:r w:rsidRPr="0098432C">
        <w:rPr>
          <w:rFonts w:eastAsia="Times New Roman"/>
          <w:u w:val="single"/>
          <w:lang w:eastAsia="ru-RU"/>
        </w:rPr>
        <w:t xml:space="preserve">, </w:t>
      </w:r>
      <w:r w:rsidRPr="0098432C">
        <w:rPr>
          <w:rFonts w:eastAsia="Times New Roman"/>
          <w:lang w:eastAsia="ru-RU"/>
        </w:rPr>
        <w:t>2021 год – 22,59 кв. м.</w:t>
      </w:r>
      <w:proofErr w:type="gramEnd"/>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том числе площадь жилых помещений, введённая в действие за год:</w:t>
      </w:r>
    </w:p>
    <w:p w:rsidR="00D87FFE" w:rsidRPr="0098432C" w:rsidRDefault="00D87FFE" w:rsidP="00E034F8">
      <w:pPr>
        <w:spacing w:line="276" w:lineRule="auto"/>
        <w:ind w:firstLine="708"/>
        <w:rPr>
          <w:rFonts w:eastAsia="Times New Roman"/>
          <w:lang w:eastAsia="ru-RU"/>
        </w:rPr>
      </w:pPr>
      <w:proofErr w:type="gramStart"/>
      <w:r w:rsidRPr="0098432C">
        <w:rPr>
          <w:rFonts w:eastAsia="Times New Roman"/>
          <w:lang w:eastAsia="ru-RU"/>
        </w:rPr>
        <w:t>2019 год – 0,9 кв.м., 2020 год – 0,07 кв. м., 2021 год – 0,07 кв. м.</w:t>
      </w:r>
      <w:proofErr w:type="gramEnd"/>
    </w:p>
    <w:p w:rsidR="00D87FFE" w:rsidRPr="0098432C" w:rsidRDefault="00D87FFE" w:rsidP="00E034F8">
      <w:pPr>
        <w:spacing w:line="276" w:lineRule="auto"/>
        <w:ind w:firstLine="708"/>
        <w:rPr>
          <w:rFonts w:eastAsia="Times New Roman"/>
          <w:lang w:eastAsia="ru-RU"/>
        </w:rPr>
      </w:pPr>
    </w:p>
    <w:p w:rsidR="00D87FFE" w:rsidRPr="0098432C" w:rsidRDefault="00D87FFE" w:rsidP="00E034F8">
      <w:pPr>
        <w:autoSpaceDE w:val="0"/>
        <w:autoSpaceDN w:val="0"/>
        <w:adjustRightInd w:val="0"/>
        <w:spacing w:line="276" w:lineRule="auto"/>
        <w:ind w:firstLine="709"/>
        <w:rPr>
          <w:rFonts w:eastAsia="Times New Roman"/>
          <w:b/>
          <w:lang w:eastAsia="ru-RU"/>
        </w:rPr>
      </w:pPr>
      <w:r w:rsidRPr="0098432C">
        <w:rPr>
          <w:rFonts w:eastAsia="Times New Roman"/>
          <w:b/>
          <w:lang w:eastAsia="ru-RU"/>
        </w:rPr>
        <w:lastRenderedPageBreak/>
        <w:t xml:space="preserve">Показатель 25. Площадь земельных участков, предоставленных для строительства в расчете на 10 тыс. человек населения, - всего, </w:t>
      </w:r>
    </w:p>
    <w:p w:rsidR="00D87FFE" w:rsidRPr="0098432C" w:rsidRDefault="00D87FFE" w:rsidP="00E034F8">
      <w:pPr>
        <w:widowControl w:val="0"/>
        <w:autoSpaceDE w:val="0"/>
        <w:autoSpaceDN w:val="0"/>
        <w:adjustRightInd w:val="0"/>
        <w:spacing w:line="276" w:lineRule="auto"/>
        <w:ind w:firstLine="708"/>
        <w:rPr>
          <w:rFonts w:eastAsia="Times New Roman"/>
          <w:b/>
          <w:lang w:eastAsia="ru-RU"/>
        </w:rPr>
      </w:pPr>
      <w:r w:rsidRPr="0098432C">
        <w:rPr>
          <w:rFonts w:eastAsia="Times New Roman"/>
          <w:b/>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D87FFE" w:rsidRPr="0098432C" w:rsidRDefault="00D87FFE" w:rsidP="00E034F8">
      <w:pPr>
        <w:widowControl w:val="0"/>
        <w:autoSpaceDE w:val="0"/>
        <w:autoSpaceDN w:val="0"/>
        <w:adjustRightInd w:val="0"/>
        <w:spacing w:line="276" w:lineRule="auto"/>
        <w:ind w:firstLine="708"/>
      </w:pPr>
      <w:r w:rsidRPr="0098432C">
        <w:t xml:space="preserve">Площадь земельных участков, предоставленных для строительства в 2018 году, в расчете на 10 000 чел. населения составила 0,91 га. </w:t>
      </w:r>
    </w:p>
    <w:p w:rsidR="00D87FFE" w:rsidRPr="0098432C" w:rsidRDefault="00D87FFE" w:rsidP="00E034F8">
      <w:pPr>
        <w:widowControl w:val="0"/>
        <w:autoSpaceDE w:val="0"/>
        <w:autoSpaceDN w:val="0"/>
        <w:adjustRightInd w:val="0"/>
        <w:spacing w:line="276" w:lineRule="auto"/>
        <w:ind w:firstLine="708"/>
      </w:pPr>
      <w:r w:rsidRPr="0098432C">
        <w:t>В том числе площадь земельных участков, предоставленных для жилищного строительства, составила 0,78 га.</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u w:val="single"/>
          <w:lang w:eastAsia="ru-RU"/>
        </w:rPr>
      </w:pPr>
      <w:r w:rsidRPr="0098432C">
        <w:rPr>
          <w:lang w:eastAsia="ru-RU"/>
        </w:rPr>
        <w:t>В 2019-2021 годах не планируется предоставление земельных участков для строительства и в том числе для жилищного строительства.</w:t>
      </w:r>
    </w:p>
    <w:p w:rsidR="00D87FFE" w:rsidRPr="0098432C" w:rsidRDefault="00D87FFE" w:rsidP="00E034F8">
      <w:pPr>
        <w:spacing w:line="276" w:lineRule="auto"/>
        <w:ind w:firstLine="708"/>
        <w:rPr>
          <w:rFonts w:eastAsia="Times New Roman"/>
          <w:u w:val="single"/>
          <w:lang w:eastAsia="ru-RU"/>
        </w:rPr>
      </w:pP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 xml:space="preserve">Показатель 26. Площадь земельных участков, предоставленных для строительства, в отношении которых </w:t>
      </w:r>
      <w:proofErr w:type="gramStart"/>
      <w:r w:rsidRPr="0098432C">
        <w:rPr>
          <w:rFonts w:eastAsia="Times New Roman"/>
          <w:b/>
          <w:lang w:eastAsia="ru-RU"/>
        </w:rPr>
        <w:t>с даты принятия</w:t>
      </w:r>
      <w:proofErr w:type="gramEnd"/>
      <w:r w:rsidRPr="0098432C">
        <w:rPr>
          <w:rFonts w:eastAsia="Times New Roman"/>
          <w:b/>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 xml:space="preserve">объектов жилищного строительства - в течение 3 лет, </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2018 году площадь составила 42263 кв. м., что на уровне 2017 года.</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 xml:space="preserve">В 2019 году будет сокращена до нулевого значения </w:t>
      </w:r>
      <w:r w:rsidRPr="0098432C">
        <w:rPr>
          <w:rFonts w:eastAsia="Times New Roman"/>
          <w:bCs/>
          <w:lang w:eastAsia="ru-RU"/>
        </w:rPr>
        <w:t>за счёт сдачи в эксплуатацию  объектов жилищного строительства застройщикам</w:t>
      </w:r>
      <w:proofErr w:type="gramStart"/>
      <w:r w:rsidRPr="0098432C">
        <w:rPr>
          <w:rFonts w:eastAsia="Times New Roman"/>
          <w:bCs/>
          <w:lang w:eastAsia="ru-RU"/>
        </w:rPr>
        <w:t xml:space="preserve">и </w:t>
      </w:r>
      <w:r w:rsidRPr="0098432C">
        <w:t>ООО</w:t>
      </w:r>
      <w:proofErr w:type="gramEnd"/>
      <w:r w:rsidRPr="0098432C">
        <w:t xml:space="preserve"> «16 квартал», ООО «</w:t>
      </w:r>
      <w:proofErr w:type="spellStart"/>
      <w:r w:rsidRPr="0098432C">
        <w:t>Монтажстрой</w:t>
      </w:r>
      <w:proofErr w:type="spellEnd"/>
      <w:r w:rsidRPr="0098432C">
        <w:t>».</w:t>
      </w:r>
    </w:p>
    <w:p w:rsidR="00D87FFE" w:rsidRPr="0098432C" w:rsidRDefault="00D87FFE" w:rsidP="00E034F8">
      <w:pPr>
        <w:spacing w:line="276" w:lineRule="auto"/>
        <w:ind w:firstLine="708"/>
        <w:rPr>
          <w:rFonts w:eastAsia="Times New Roman"/>
          <w:lang w:eastAsia="ru-RU"/>
        </w:rPr>
      </w:pPr>
      <w:r w:rsidRPr="0098432C">
        <w:rPr>
          <w:rFonts w:eastAsia="Times New Roman"/>
          <w:bCs/>
          <w:lang w:eastAsia="ru-RU"/>
        </w:rPr>
        <w:t>В дальнейшем, в 2020 и 2021 годах, в связи с отсутствием иных застройщиков ожидается сохранение показателя в нулевом значении.</w:t>
      </w:r>
    </w:p>
    <w:p w:rsidR="00D87FFE" w:rsidRPr="0098432C" w:rsidRDefault="00D87FFE" w:rsidP="00E034F8">
      <w:pPr>
        <w:spacing w:line="276" w:lineRule="auto"/>
        <w:ind w:firstLine="708"/>
        <w:rPr>
          <w:rFonts w:eastAsia="Times New Roman"/>
          <w:lang w:eastAsia="ru-RU"/>
        </w:rPr>
      </w:pPr>
    </w:p>
    <w:p w:rsidR="00D87FFE" w:rsidRPr="0098432C" w:rsidRDefault="00D87FFE" w:rsidP="00E034F8">
      <w:pPr>
        <w:spacing w:line="276" w:lineRule="auto"/>
        <w:ind w:firstLine="708"/>
        <w:rPr>
          <w:rFonts w:eastAsia="Times New Roman"/>
          <w:b/>
          <w:lang w:eastAsia="ru-RU"/>
        </w:rPr>
      </w:pPr>
      <w:r w:rsidRPr="0098432C">
        <w:rPr>
          <w:rFonts w:eastAsia="Times New Roman"/>
          <w:b/>
          <w:lang w:eastAsia="ru-RU"/>
        </w:rPr>
        <w:t>иных объектов капитального строительства - в течение 5 лет.</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2018 году площадь составила 741 кв. м., что на уровне 2017 года.</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2019 году сохранится на уровне 2018 года, в 2020-2021 годах – сократится до нуля.</w:t>
      </w:r>
    </w:p>
    <w:p w:rsidR="00D87FFE" w:rsidRPr="0098432C" w:rsidRDefault="00D87FFE" w:rsidP="00E034F8">
      <w:pPr>
        <w:spacing w:line="276" w:lineRule="auto"/>
        <w:ind w:firstLine="708"/>
        <w:rPr>
          <w:rFonts w:eastAsia="Times New Roman"/>
          <w:u w:val="single"/>
          <w:lang w:eastAsia="ru-RU"/>
        </w:rPr>
      </w:pP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val="en-US" w:eastAsia="ru-RU"/>
        </w:rPr>
        <w:t>VII</w:t>
      </w:r>
      <w:r w:rsidRPr="0098432C">
        <w:rPr>
          <w:rFonts w:eastAsia="Times New Roman"/>
          <w:b/>
          <w:sz w:val="28"/>
          <w:szCs w:val="28"/>
          <w:lang w:eastAsia="ru-RU"/>
        </w:rPr>
        <w:t>.</w:t>
      </w:r>
      <w:r w:rsidRPr="0098432C">
        <w:rPr>
          <w:rFonts w:eastAsia="Times New Roman"/>
          <w:sz w:val="28"/>
          <w:szCs w:val="28"/>
          <w:lang w:eastAsia="ru-RU"/>
        </w:rPr>
        <w:t xml:space="preserve"> </w:t>
      </w:r>
      <w:r w:rsidRPr="0098432C">
        <w:rPr>
          <w:rFonts w:eastAsia="Times New Roman"/>
          <w:b/>
          <w:sz w:val="28"/>
          <w:szCs w:val="28"/>
          <w:lang w:eastAsia="ru-RU"/>
        </w:rPr>
        <w:t>Жилищно-коммунальное хозяйство</w:t>
      </w:r>
    </w:p>
    <w:p w:rsidR="00D87FFE" w:rsidRPr="0098432C" w:rsidRDefault="00D87FFE" w:rsidP="00E034F8">
      <w:pPr>
        <w:tabs>
          <w:tab w:val="left" w:pos="2090"/>
          <w:tab w:val="center" w:pos="5032"/>
        </w:tabs>
        <w:spacing w:after="120" w:line="276" w:lineRule="auto"/>
        <w:jc w:val="center"/>
        <w:rPr>
          <w:rFonts w:eastAsia="Times New Roman"/>
          <w:b/>
          <w:sz w:val="28"/>
          <w:szCs w:val="28"/>
          <w:lang w:bidi="en-US"/>
        </w:rPr>
      </w:pPr>
      <w:r w:rsidRPr="0098432C">
        <w:rPr>
          <w:rFonts w:eastAsia="Times New Roman"/>
          <w:b/>
          <w:sz w:val="28"/>
          <w:szCs w:val="28"/>
          <w:lang w:bidi="en-US"/>
        </w:rPr>
        <w:t>Характеристика</w:t>
      </w:r>
      <w:r w:rsidRPr="0098432C">
        <w:rPr>
          <w:rFonts w:eastAsia="Times New Roman"/>
          <w:b/>
          <w:caps/>
          <w:sz w:val="28"/>
          <w:szCs w:val="28"/>
          <w:lang w:bidi="en-US"/>
        </w:rPr>
        <w:t xml:space="preserve"> </w:t>
      </w:r>
      <w:r w:rsidRPr="0098432C">
        <w:rPr>
          <w:rFonts w:eastAsia="Times New Roman"/>
          <w:b/>
          <w:sz w:val="28"/>
          <w:szCs w:val="28"/>
          <w:lang w:bidi="en-US"/>
        </w:rPr>
        <w:t>отрасли</w:t>
      </w:r>
    </w:p>
    <w:p w:rsidR="00D87FFE" w:rsidRPr="0098432C" w:rsidRDefault="00D87FFE" w:rsidP="00E034F8">
      <w:pPr>
        <w:spacing w:line="276" w:lineRule="auto"/>
        <w:ind w:firstLine="709"/>
        <w:rPr>
          <w:rFonts w:eastAsia="Times New Roman"/>
          <w:lang w:eastAsia="ru-RU"/>
        </w:rPr>
      </w:pPr>
      <w:proofErr w:type="gramStart"/>
      <w:r w:rsidRPr="0098432C">
        <w:rPr>
          <w:rFonts w:eastAsia="Times New Roman"/>
          <w:lang w:eastAsia="ru-RU"/>
        </w:rPr>
        <w:t>Жилой фонд города – 1823,75 тыс.кв.м. В 2018 году введены в эксплуатацию 2 многоквартирных дома (ЖК «Молодежный»), расположенные по адресу: ул. Молодежная, д. 43 к.1 и к.2.</w:t>
      </w:r>
      <w:proofErr w:type="gramEnd"/>
      <w:r w:rsidRPr="0098432C">
        <w:rPr>
          <w:rFonts w:eastAsia="Times New Roman"/>
          <w:lang w:eastAsia="ru-RU"/>
        </w:rPr>
        <w:t xml:space="preserve"> Весь жилой фонд относится к категории благоустроенного жилья в многоквартирных жилых домах.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В 2018 году администрацией Сосновоборского городского округа проведены два открытых конкурса по отбору управляющей организации для управления многоквартирными домами в отношении 3-х многоквартирных домов.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На территории Сосновоборского городского округа деятельность по управлению многоквартирными домами осуществляют 10 управляющих организаций. Одна из управляющих организаций является муниципальным предприятием, остальные – частные.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Предприятия коммунального комплекса представлены 5</w:t>
      </w:r>
      <w:r w:rsidRPr="0098432C">
        <w:rPr>
          <w:rFonts w:eastAsia="Times New Roman"/>
          <w:b/>
          <w:lang w:eastAsia="ru-RU"/>
        </w:rPr>
        <w:t>-</w:t>
      </w:r>
      <w:r w:rsidRPr="0098432C">
        <w:rPr>
          <w:rFonts w:eastAsia="Times New Roman"/>
          <w:lang w:eastAsia="ru-RU"/>
        </w:rPr>
        <w:t>ю частными компаниями – ООО «</w:t>
      </w:r>
      <w:proofErr w:type="spellStart"/>
      <w:r w:rsidRPr="0098432C">
        <w:rPr>
          <w:rFonts w:eastAsia="Times New Roman"/>
          <w:lang w:eastAsia="ru-RU"/>
        </w:rPr>
        <w:t>РКС-энерго</w:t>
      </w:r>
      <w:proofErr w:type="spellEnd"/>
      <w:r w:rsidRPr="0098432C">
        <w:rPr>
          <w:rFonts w:eastAsia="Times New Roman"/>
          <w:lang w:eastAsia="ru-RU"/>
        </w:rPr>
        <w:t xml:space="preserve">», ОАО «Ленинградская областная управляющая </w:t>
      </w:r>
      <w:proofErr w:type="spellStart"/>
      <w:r w:rsidRPr="0098432C">
        <w:rPr>
          <w:rFonts w:eastAsia="Times New Roman"/>
          <w:lang w:eastAsia="ru-RU"/>
        </w:rPr>
        <w:t>электросетевая</w:t>
      </w:r>
      <w:proofErr w:type="spellEnd"/>
      <w:r w:rsidRPr="0098432C">
        <w:rPr>
          <w:rFonts w:eastAsia="Times New Roman"/>
          <w:lang w:eastAsia="ru-RU"/>
        </w:rPr>
        <w:t xml:space="preserve"> компания», филиал АО «Газпром газораспределение Ленинградская область»  (газоснабжение), филиал ОАО «Концерн Росэнергоатом» «Ленинградская атомная станция» (водоснабжение), ООО </w:t>
      </w:r>
      <w:r w:rsidRPr="0098432C">
        <w:rPr>
          <w:rFonts w:eastAsia="Times New Roman"/>
          <w:lang w:eastAsia="ru-RU"/>
        </w:rPr>
        <w:lastRenderedPageBreak/>
        <w:t>«ГРАНД» (теплоснабжение-транспортировка) и 2-мя муниципальными – СМУП «ТСП» (теплоснабжение), СМУП «Водоканал» (водоснабжение и водоотведение).</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Уровень собираемости платежей населения за услуги ЖКХ составляет 97 %.</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spacing w:after="120" w:line="276" w:lineRule="auto"/>
        <w:jc w:val="center"/>
        <w:rPr>
          <w:rFonts w:eastAsia="Times New Roman"/>
          <w:b/>
          <w:bCs/>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Фактическое значение показателя в 2018 году составило 99,13</w:t>
      </w:r>
      <w:r w:rsidRPr="0098432C">
        <w:rPr>
          <w:rFonts w:eastAsia="Times New Roman"/>
          <w:b/>
          <w:bCs/>
          <w:lang w:eastAsia="ru-RU"/>
        </w:rPr>
        <w:t xml:space="preserve"> %</w:t>
      </w:r>
      <w:r w:rsidRPr="0098432C">
        <w:rPr>
          <w:rFonts w:eastAsia="Times New Roman"/>
          <w:bCs/>
          <w:lang w:eastAsia="ru-RU"/>
        </w:rPr>
        <w:t>, что ниже, чем в 2017 году (99,71 %).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Значение показателя по прогнозу на 2019-2021 годы составит 100 %.</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 xml:space="preserve">Показатель 28. Доля организаций коммунального комплекса, осуществляющих производство товаров, оказание услуг по </w:t>
      </w:r>
      <w:proofErr w:type="spellStart"/>
      <w:r w:rsidRPr="0098432C">
        <w:rPr>
          <w:rFonts w:eastAsia="Times New Roman"/>
          <w:b/>
          <w:bCs/>
          <w:lang w:eastAsia="ru-RU"/>
        </w:rPr>
        <w:t>водо</w:t>
      </w:r>
      <w:proofErr w:type="spellEnd"/>
      <w:r w:rsidRPr="0098432C">
        <w:rPr>
          <w:rFonts w:eastAsia="Times New Roman"/>
          <w:b/>
          <w:bCs/>
          <w:lang w:eastAsia="ru-RU"/>
        </w:rPr>
        <w:t>-, тепл</w:t>
      </w:r>
      <w:proofErr w:type="gramStart"/>
      <w:r w:rsidRPr="0098432C">
        <w:rPr>
          <w:rFonts w:eastAsia="Times New Roman"/>
          <w:b/>
          <w:bCs/>
          <w:lang w:eastAsia="ru-RU"/>
        </w:rPr>
        <w:t>о-</w:t>
      </w:r>
      <w:proofErr w:type="gramEnd"/>
      <w:r w:rsidRPr="0098432C">
        <w:rPr>
          <w:rFonts w:eastAsia="Times New Roman"/>
          <w:b/>
          <w:bCs/>
          <w:lang w:eastAsia="ru-RU"/>
        </w:rPr>
        <w:t xml:space="preserve">, </w:t>
      </w:r>
      <w:proofErr w:type="spellStart"/>
      <w:r w:rsidRPr="0098432C">
        <w:rPr>
          <w:rFonts w:eastAsia="Times New Roman"/>
          <w:b/>
          <w:bCs/>
          <w:lang w:eastAsia="ru-RU"/>
        </w:rPr>
        <w:t>газо</w:t>
      </w:r>
      <w:proofErr w:type="spellEnd"/>
      <w:r w:rsidRPr="0098432C">
        <w:rPr>
          <w:rFonts w:eastAsia="Times New Roman"/>
          <w:b/>
          <w:bCs/>
          <w:lang w:eastAsia="ru-RU"/>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98432C">
        <w:rPr>
          <w:rFonts w:eastAsia="Times New Roman"/>
          <w:b/>
          <w:bCs/>
          <w:lang w:eastAsia="ru-RU"/>
        </w:rPr>
        <w:t>осуществляющих</w:t>
      </w:r>
      <w:proofErr w:type="gramEnd"/>
      <w:r w:rsidRPr="0098432C">
        <w:rPr>
          <w:rFonts w:eastAsia="Times New Roman"/>
          <w:b/>
          <w:bCs/>
          <w:lang w:eastAsia="ru-RU"/>
        </w:rPr>
        <w:t xml:space="preserve"> свою деятельность на территории городского округа.</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Фактическое значение показателя в 2018 году составило 83,3 %, что соответствует уровню 2017 года.</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Значение показателя по прогнозу на 2019-2021 годы планируется на уровне 83,3 %.</w:t>
      </w:r>
    </w:p>
    <w:p w:rsidR="00D87FFE" w:rsidRPr="0098432C" w:rsidRDefault="00D87FFE" w:rsidP="00E034F8">
      <w:pPr>
        <w:spacing w:line="276" w:lineRule="auto"/>
        <w:ind w:firstLine="708"/>
        <w:rPr>
          <w:rFonts w:eastAsia="Times New Roman"/>
          <w:u w:val="single"/>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На территории округа зарегистрировано 407 многоквартирных жилых домов. На кадастровый учет под ними поставлено 119 земельных участков. Доля многоквартирных домов, расположенных на земельных участках, в отношении которых осуществлен государственный кадастровый учет, в 2018 году составила 29,2 %, что выше уровня 2017 года – 29,1 %.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 xml:space="preserve">В 2019 году в эксплуатацию планируется ввести 4 многоквартирных жилых дома, а также на основании утвержденного проекта межевания 2-го микрорайона на кадастровый учет планируется поставить еще 38 земельных участков, доведя число </w:t>
      </w:r>
      <w:proofErr w:type="spellStart"/>
      <w:r w:rsidRPr="0098432C">
        <w:rPr>
          <w:rFonts w:eastAsia="Times New Roman"/>
          <w:bCs/>
          <w:lang w:eastAsia="ru-RU"/>
        </w:rPr>
        <w:t>промежеванных</w:t>
      </w:r>
      <w:proofErr w:type="spellEnd"/>
      <w:r w:rsidRPr="0098432C">
        <w:rPr>
          <w:rFonts w:eastAsia="Times New Roman"/>
          <w:bCs/>
          <w:lang w:eastAsia="ru-RU"/>
        </w:rPr>
        <w:t xml:space="preserve"> участков до 161. В 2020-2021 годах планируется обсуждение с жителями города и утверждение проектов межевания жилых микрорайонов города. Это позволяет прогнозировать долю земельных участков под многоквартирными жилыми домами, поставленных на кадастровый учет, в 2019 году – 39,2 %, в 2020 году – 49 %, в 2021 году – 65 %.</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line="276" w:lineRule="auto"/>
        <w:ind w:firstLine="709"/>
        <w:rPr>
          <w:b/>
        </w:rPr>
      </w:pPr>
      <w:r w:rsidRPr="0098432C">
        <w:rPr>
          <w:rFonts w:eastAsia="Times New Roman"/>
          <w:b/>
          <w:bCs/>
          <w:lang w:eastAsia="ru-RU"/>
        </w:rPr>
        <w:t xml:space="preserve">Показатель 30. </w:t>
      </w:r>
      <w:proofErr w:type="gramStart"/>
      <w:r w:rsidRPr="0098432C">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87FFE" w:rsidRPr="0098432C" w:rsidRDefault="00D87FFE" w:rsidP="00E034F8">
      <w:pPr>
        <w:spacing w:line="276" w:lineRule="auto"/>
        <w:ind w:firstLine="709"/>
        <w:rPr>
          <w:b/>
        </w:rPr>
      </w:pPr>
      <w:r w:rsidRPr="0098432C">
        <w:lastRenderedPageBreak/>
        <w:t>Всего на 01.01.2018 в общегородской очереди на жильё состояло 970 семей. За 2018 год улучшили жилищные условия (путем участия в жилищных программах, получения жилья по договору социального найма) из числа очередников 27 семей, что составляет 2,78 % от численности семей, состоящих на учете.</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pPr>
      <w:r w:rsidRPr="0098432C">
        <w:t>На 2019-2021 годы планируется значение показателя, равное 1 %.</w:t>
      </w:r>
    </w:p>
    <w:p w:rsidR="00D87FFE" w:rsidRPr="0098432C" w:rsidRDefault="00D87FFE" w:rsidP="00E034F8">
      <w:pPr>
        <w:spacing w:line="276" w:lineRule="auto"/>
        <w:ind w:firstLine="708"/>
      </w:pPr>
    </w:p>
    <w:p w:rsidR="00D87FFE" w:rsidRPr="0098432C" w:rsidRDefault="00D87FFE" w:rsidP="00E034F8">
      <w:pPr>
        <w:spacing w:after="120" w:line="276" w:lineRule="auto"/>
        <w:jc w:val="center"/>
        <w:rPr>
          <w:rFonts w:eastAsia="Times New Roman"/>
          <w:b/>
          <w:sz w:val="28"/>
          <w:szCs w:val="28"/>
          <w:lang w:eastAsia="ru-RU"/>
        </w:rPr>
      </w:pPr>
      <w:r w:rsidRPr="0098432C">
        <w:rPr>
          <w:rFonts w:eastAsia="Times New Roman"/>
          <w:b/>
          <w:sz w:val="28"/>
          <w:szCs w:val="28"/>
          <w:lang w:val="en-US" w:eastAsia="ru-RU"/>
        </w:rPr>
        <w:t>VIII</w:t>
      </w:r>
      <w:r w:rsidRPr="0098432C">
        <w:rPr>
          <w:rFonts w:eastAsia="Times New Roman"/>
          <w:b/>
          <w:sz w:val="28"/>
          <w:szCs w:val="28"/>
          <w:lang w:eastAsia="ru-RU"/>
        </w:rPr>
        <w:t>. Организация муниципального управления</w:t>
      </w:r>
    </w:p>
    <w:p w:rsidR="00D87FFE" w:rsidRPr="0098432C" w:rsidRDefault="00D87FFE" w:rsidP="00E034F8">
      <w:pPr>
        <w:spacing w:after="120" w:line="276" w:lineRule="auto"/>
        <w:jc w:val="center"/>
        <w:rPr>
          <w:rFonts w:eastAsia="Times New Roman"/>
          <w:b/>
          <w:caps/>
          <w:sz w:val="28"/>
          <w:szCs w:val="28"/>
          <w:lang w:bidi="en-US"/>
        </w:rPr>
      </w:pPr>
      <w:r w:rsidRPr="0098432C">
        <w:rPr>
          <w:rFonts w:eastAsia="Times New Roman"/>
          <w:b/>
          <w:sz w:val="28"/>
          <w:szCs w:val="28"/>
          <w:lang w:bidi="en-US"/>
        </w:rPr>
        <w:t>Характеристика</w:t>
      </w:r>
      <w:r w:rsidRPr="0098432C">
        <w:rPr>
          <w:rFonts w:eastAsia="Times New Roman"/>
          <w:b/>
          <w:caps/>
          <w:sz w:val="28"/>
          <w:szCs w:val="28"/>
          <w:lang w:bidi="en-US"/>
        </w:rPr>
        <w:t xml:space="preserve"> </w:t>
      </w:r>
      <w:r w:rsidRPr="0098432C">
        <w:rPr>
          <w:rFonts w:eastAsia="Times New Roman"/>
          <w:b/>
          <w:sz w:val="28"/>
          <w:szCs w:val="28"/>
          <w:lang w:bidi="en-US"/>
        </w:rPr>
        <w:t>отрасли</w:t>
      </w:r>
      <w:bookmarkStart w:id="3" w:name="_Toc349139865"/>
    </w:p>
    <w:p w:rsidR="00D87FFE" w:rsidRPr="0098432C" w:rsidRDefault="00D87FFE" w:rsidP="00E034F8">
      <w:pPr>
        <w:spacing w:line="276" w:lineRule="auto"/>
        <w:ind w:firstLine="709"/>
      </w:pPr>
      <w:bookmarkStart w:id="4" w:name="_Toc284574128"/>
      <w:bookmarkStart w:id="5" w:name="_Toc349139856"/>
      <w:bookmarkEnd w:id="3"/>
      <w:proofErr w:type="gramStart"/>
      <w:r w:rsidRPr="0098432C">
        <w:rPr>
          <w:b/>
          <w:bCs/>
        </w:rPr>
        <w:t>Поступления в бюджетную систему</w:t>
      </w:r>
      <w:r w:rsidRPr="0098432C">
        <w:t xml:space="preserve"> в течение 2018 года налоговых и других обязательных платежей по данным Инспекции ФНС России по г. Сосновый Бор (с учетом крупных предприятий) составили 7 650 768 тыс. руб., в том числе в федеральный бюджет поступило 2 486 400 тыс. руб. или 32,5 % от общей суммы, в областной бюджет – 4 037 141 тыс. руб. (52,8 %), в местный</w:t>
      </w:r>
      <w:proofErr w:type="gramEnd"/>
      <w:r w:rsidRPr="0098432C">
        <w:t xml:space="preserve"> бюджет –  1 127 227 тыс. руб. (14,7 %). </w:t>
      </w:r>
    </w:p>
    <w:p w:rsidR="00D87FFE" w:rsidRPr="0098432C" w:rsidRDefault="00D87FFE" w:rsidP="00E034F8">
      <w:pPr>
        <w:spacing w:line="276" w:lineRule="auto"/>
        <w:ind w:firstLine="709"/>
      </w:pPr>
      <w:r w:rsidRPr="0098432C">
        <w:t>По сравнению с итогами 2017 года отмечается увеличение поступлений платежей в бюджетную систему на 1 183 596  тыс. руб. или на 18,3 %.</w:t>
      </w:r>
    </w:p>
    <w:p w:rsidR="00D87FFE" w:rsidRPr="0098432C" w:rsidRDefault="00D87FFE" w:rsidP="00E034F8">
      <w:pPr>
        <w:pStyle w:val="211"/>
        <w:numPr>
          <w:ilvl w:val="12"/>
          <w:numId w:val="0"/>
        </w:numPr>
        <w:spacing w:line="276" w:lineRule="auto"/>
        <w:ind w:firstLine="709"/>
        <w:rPr>
          <w:szCs w:val="24"/>
        </w:rPr>
      </w:pPr>
      <w:r w:rsidRPr="0098432C">
        <w:rPr>
          <w:szCs w:val="24"/>
        </w:rPr>
        <w:t>По налогу на доходы физических лиц сумма поступлений в местный бюджет составила 835126,0 тыс. руб., что на 70 336 тыс. руб. или на 9,2 % больше поступлений 2017 года.</w:t>
      </w:r>
    </w:p>
    <w:p w:rsidR="00D87FFE" w:rsidRPr="0098432C" w:rsidRDefault="00D87FFE" w:rsidP="00E034F8">
      <w:pPr>
        <w:pStyle w:val="211"/>
        <w:numPr>
          <w:ilvl w:val="12"/>
          <w:numId w:val="0"/>
        </w:numPr>
        <w:spacing w:line="276" w:lineRule="auto"/>
        <w:ind w:firstLine="709"/>
        <w:rPr>
          <w:szCs w:val="24"/>
        </w:rPr>
      </w:pPr>
      <w:r w:rsidRPr="0098432C">
        <w:rPr>
          <w:szCs w:val="24"/>
        </w:rPr>
        <w:t>По земельному налогу сумма поступлений составила 108 043,1 тыс. руб., что на 678,8 тыс.  руб., или на 0,63 % больше поступлений прошлого года.</w:t>
      </w:r>
    </w:p>
    <w:p w:rsidR="00D87FFE" w:rsidRPr="0098432C" w:rsidRDefault="00D87FFE" w:rsidP="00E034F8">
      <w:pPr>
        <w:spacing w:line="276" w:lineRule="auto"/>
        <w:ind w:firstLine="709"/>
      </w:pPr>
      <w:r w:rsidRPr="0098432C">
        <w:t>Сумма недоимки по налогам в местный бюджет по состоянию на 01.01.2019 составила 24 183,4  тыс. руб.</w:t>
      </w:r>
      <w:r w:rsidRPr="0098432C">
        <w:tab/>
      </w:r>
    </w:p>
    <w:p w:rsidR="00D87FFE" w:rsidRPr="0098432C" w:rsidRDefault="00D87FFE" w:rsidP="00E034F8">
      <w:pPr>
        <w:pStyle w:val="211"/>
        <w:numPr>
          <w:ilvl w:val="12"/>
          <w:numId w:val="0"/>
        </w:numPr>
        <w:spacing w:line="276" w:lineRule="auto"/>
        <w:ind w:firstLine="709"/>
        <w:rPr>
          <w:szCs w:val="24"/>
        </w:rPr>
      </w:pPr>
      <w:r w:rsidRPr="0098432C">
        <w:rPr>
          <w:b/>
          <w:szCs w:val="24"/>
        </w:rPr>
        <w:t>Исполнение бюджета Сосновоборского городского округа по доходам</w:t>
      </w:r>
      <w:r w:rsidRPr="0098432C">
        <w:rPr>
          <w:szCs w:val="24"/>
        </w:rPr>
        <w:t xml:space="preserve"> за 2018 год составило 2 583 295,4 </w:t>
      </w:r>
      <w:r w:rsidRPr="0098432C">
        <w:rPr>
          <w:bCs/>
          <w:szCs w:val="24"/>
        </w:rPr>
        <w:t>тыс. руб.</w:t>
      </w:r>
      <w:r w:rsidRPr="0098432C">
        <w:rPr>
          <w:szCs w:val="24"/>
        </w:rPr>
        <w:t xml:space="preserve"> или 101,3% к плану на год, что 9,4 % больше, чем за 2017 год.    </w:t>
      </w:r>
    </w:p>
    <w:p w:rsidR="00D87FFE" w:rsidRPr="0098432C" w:rsidRDefault="00D87FFE" w:rsidP="00E034F8">
      <w:pPr>
        <w:pStyle w:val="21"/>
        <w:spacing w:after="0" w:line="276" w:lineRule="auto"/>
        <w:ind w:firstLine="709"/>
        <w:rPr>
          <w:sz w:val="24"/>
          <w:szCs w:val="24"/>
        </w:rPr>
      </w:pPr>
      <w:r w:rsidRPr="0098432C">
        <w:rPr>
          <w:sz w:val="24"/>
          <w:szCs w:val="24"/>
        </w:rPr>
        <w:t>Основными доходными источниками местного бюджета являются:</w:t>
      </w:r>
    </w:p>
    <w:p w:rsidR="00D87FFE" w:rsidRPr="0098432C" w:rsidRDefault="00D87FFE" w:rsidP="00E034F8">
      <w:pPr>
        <w:pStyle w:val="21"/>
        <w:spacing w:after="0" w:line="276" w:lineRule="auto"/>
        <w:ind w:firstLine="709"/>
        <w:jc w:val="both"/>
        <w:rPr>
          <w:sz w:val="24"/>
          <w:szCs w:val="24"/>
        </w:rPr>
      </w:pPr>
      <w:r w:rsidRPr="0098432C">
        <w:rPr>
          <w:sz w:val="24"/>
          <w:szCs w:val="24"/>
        </w:rPr>
        <w:t xml:space="preserve">- налог на доходы физических лиц – </w:t>
      </w:r>
      <w:r w:rsidRPr="0098432C">
        <w:rPr>
          <w:bCs/>
          <w:sz w:val="24"/>
          <w:szCs w:val="24"/>
        </w:rPr>
        <w:t xml:space="preserve">764 790,0 </w:t>
      </w:r>
      <w:r w:rsidRPr="0098432C">
        <w:rPr>
          <w:sz w:val="24"/>
          <w:szCs w:val="24"/>
        </w:rPr>
        <w:t xml:space="preserve">тыс. руб., его удельный вес составил 61,5 %  от суммы собственных доходов, </w:t>
      </w:r>
    </w:p>
    <w:p w:rsidR="00D87FFE" w:rsidRPr="0098432C" w:rsidRDefault="00D87FFE" w:rsidP="00E034F8">
      <w:pPr>
        <w:spacing w:line="276" w:lineRule="auto"/>
        <w:ind w:firstLine="709"/>
      </w:pPr>
      <w:r w:rsidRPr="0098432C">
        <w:t>- земельный налог – 107 364,3 тыс. руб., его удельный вес составил 8,6 % от суммы собственных доходов,</w:t>
      </w:r>
    </w:p>
    <w:p w:rsidR="00D87FFE" w:rsidRPr="0098432C" w:rsidRDefault="00D87FFE" w:rsidP="00E034F8">
      <w:pPr>
        <w:spacing w:line="276" w:lineRule="auto"/>
        <w:ind w:firstLine="709"/>
      </w:pPr>
      <w:r w:rsidRPr="0098432C">
        <w:t>- налоги на совокупный доход – 122 909,04 тыс. руб., их удельный вес составил 9,9 % от суммы собственных доходов,</w:t>
      </w:r>
    </w:p>
    <w:p w:rsidR="00D87FFE" w:rsidRPr="0098432C" w:rsidRDefault="00D87FFE" w:rsidP="00E034F8">
      <w:pPr>
        <w:spacing w:line="276" w:lineRule="auto"/>
        <w:ind w:firstLine="709"/>
      </w:pPr>
      <w:r w:rsidRPr="0098432C">
        <w:t>- доходы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- 91 143,6 тыс. руб., их удельный вес составил 7,3 % от суммы собственных доходов.</w:t>
      </w:r>
    </w:p>
    <w:p w:rsidR="00D87FFE" w:rsidRPr="0098432C" w:rsidRDefault="00D87FFE" w:rsidP="00E034F8">
      <w:pPr>
        <w:spacing w:line="276" w:lineRule="auto"/>
        <w:ind w:firstLine="709"/>
      </w:pPr>
      <w:r w:rsidRPr="0098432C">
        <w:rPr>
          <w:b/>
          <w:bCs/>
        </w:rPr>
        <w:t>Исполнение по расходам</w:t>
      </w:r>
      <w:r w:rsidRPr="0098432C">
        <w:t xml:space="preserve"> за 2018 год составило </w:t>
      </w:r>
      <w:r w:rsidRPr="0098432C">
        <w:rPr>
          <w:bCs/>
        </w:rPr>
        <w:t>2 390 633,5</w:t>
      </w:r>
      <w:r w:rsidRPr="0098432C">
        <w:t xml:space="preserve"> тыс. руб., или </w:t>
      </w:r>
      <w:r w:rsidRPr="0098432C">
        <w:rPr>
          <w:bCs/>
        </w:rPr>
        <w:t>92,3</w:t>
      </w:r>
      <w:r w:rsidRPr="0098432C">
        <w:t xml:space="preserve"> % к плану года, что на 0,9 % больше, чем за 2017 год. </w:t>
      </w:r>
    </w:p>
    <w:p w:rsidR="00D87FFE" w:rsidRPr="0098432C" w:rsidRDefault="00D87FFE" w:rsidP="00E034F8">
      <w:pPr>
        <w:spacing w:line="276" w:lineRule="auto"/>
        <w:ind w:firstLine="709"/>
      </w:pPr>
      <w:r w:rsidRPr="0098432C">
        <w:t>Основными причинами неисполнения плановых назначений по подразделам являются: заключение муниципальных контрактов и договоров на суммы меньше запланированных (экономия);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средства) по фактически предъявленным к оплате документам, переходящие муниципальные контракты.</w:t>
      </w:r>
    </w:p>
    <w:p w:rsidR="00D87FFE" w:rsidRPr="0098432C" w:rsidRDefault="00D87FFE" w:rsidP="00E034F8">
      <w:pPr>
        <w:pStyle w:val="21"/>
        <w:spacing w:after="0" w:line="276" w:lineRule="auto"/>
        <w:ind w:firstLine="709"/>
        <w:jc w:val="both"/>
        <w:rPr>
          <w:sz w:val="24"/>
          <w:szCs w:val="24"/>
        </w:rPr>
      </w:pPr>
      <w:r w:rsidRPr="0098432C">
        <w:rPr>
          <w:b/>
          <w:bCs/>
          <w:sz w:val="24"/>
          <w:szCs w:val="24"/>
        </w:rPr>
        <w:lastRenderedPageBreak/>
        <w:t>Бюджетная обеспеченность</w:t>
      </w:r>
      <w:r w:rsidRPr="0098432C">
        <w:rPr>
          <w:sz w:val="24"/>
          <w:szCs w:val="24"/>
        </w:rPr>
        <w:t xml:space="preserve"> на 1 жителя по доходам за 2018 год составляет 37 798,4 руб., или 108,9 % к уровню 2017 года, по расходам – 34 979,4 руб., или 100,5 % к уровню 2017 года.</w:t>
      </w:r>
    </w:p>
    <w:p w:rsidR="00D87FFE" w:rsidRPr="0098432C" w:rsidRDefault="00D87FFE" w:rsidP="00E034F8">
      <w:pPr>
        <w:pStyle w:val="21"/>
        <w:spacing w:after="0" w:line="276" w:lineRule="auto"/>
        <w:ind w:firstLine="709"/>
        <w:jc w:val="both"/>
        <w:rPr>
          <w:sz w:val="24"/>
          <w:szCs w:val="24"/>
        </w:rPr>
      </w:pPr>
      <w:r w:rsidRPr="0098432C">
        <w:rPr>
          <w:sz w:val="24"/>
          <w:szCs w:val="24"/>
        </w:rPr>
        <w:t>В отчетном периоде на территории Сосновоборского городского округа реализовывались мероприятия 10 муниципальных программ, исполнение которых составило 2 076 743,8</w:t>
      </w:r>
      <w:r w:rsidRPr="0098432C">
        <w:rPr>
          <w:bCs/>
        </w:rPr>
        <w:t xml:space="preserve"> </w:t>
      </w:r>
      <w:r w:rsidRPr="0098432C">
        <w:rPr>
          <w:sz w:val="24"/>
          <w:szCs w:val="24"/>
        </w:rPr>
        <w:t>тыс. руб. или 91,7 % от уточненного плана.</w:t>
      </w:r>
    </w:p>
    <w:p w:rsidR="00D87FFE" w:rsidRPr="0098432C" w:rsidRDefault="00D87FFE" w:rsidP="00E034F8">
      <w:pPr>
        <w:spacing w:line="276" w:lineRule="auto"/>
        <w:ind w:firstLine="709"/>
      </w:pPr>
      <w:r w:rsidRPr="0098432C">
        <w:rPr>
          <w:rFonts w:eastAsia="Times New Roman"/>
          <w:b/>
        </w:rPr>
        <w:t>Демографи</w:t>
      </w:r>
      <w:bookmarkEnd w:id="4"/>
      <w:r w:rsidRPr="0098432C">
        <w:rPr>
          <w:rFonts w:eastAsia="Times New Roman"/>
          <w:b/>
        </w:rPr>
        <w:t>я</w:t>
      </w:r>
      <w:bookmarkEnd w:id="5"/>
      <w:r w:rsidRPr="0098432C">
        <w:t xml:space="preserve">. </w:t>
      </w:r>
    </w:p>
    <w:p w:rsidR="00D87FFE" w:rsidRPr="0098432C" w:rsidRDefault="00D87FFE" w:rsidP="00E034F8">
      <w:pPr>
        <w:spacing w:line="276" w:lineRule="auto"/>
        <w:ind w:firstLine="709"/>
      </w:pPr>
      <w:r w:rsidRPr="0098432C">
        <w:t xml:space="preserve">За 2018 год, по предварительным данным статистики, рождаемость снизилась, а смертность выросла по сравнению с аналогичным периодом предыдущего года. При этом число родившихся снизилось на 84 человека и составило 616 человек, а число умерших увеличилось на 15 человек и составило 731 человек. </w:t>
      </w:r>
    </w:p>
    <w:p w:rsidR="00D87FFE" w:rsidRPr="0098432C" w:rsidRDefault="00D87FFE" w:rsidP="00E034F8">
      <w:pPr>
        <w:spacing w:line="276" w:lineRule="auto"/>
        <w:ind w:firstLine="709"/>
      </w:pPr>
      <w:r w:rsidRPr="0098432C">
        <w:t>Таким образом, смертность превысила рождаемость, в результате естественная убыль населения составила 115 человек, в то время как за аналогичный период предыдущего года естественная убыль населения составляла 16 человек:</w:t>
      </w:r>
    </w:p>
    <w:p w:rsidR="00D87FFE" w:rsidRPr="0098432C" w:rsidRDefault="00D87FFE" w:rsidP="00E034F8">
      <w:pPr>
        <w:spacing w:line="276" w:lineRule="auto"/>
        <w:ind w:firstLine="709"/>
      </w:pPr>
      <w:r w:rsidRPr="0098432C">
        <w:t>В отчетном периоде миграционный прирост населения составил 446 человек против миграционной убыли в аналогичном периоде предыдущего года в 16 человек. Таким образом, миграционный прирост населения превысил естественную убыль, в результате чего численность населения Сосновоборского городского округа за отчетный период по предварительным данным статистики увеличилась на 331 человек и составила на 1 января 2019 года 68 344 человека.</w:t>
      </w:r>
    </w:p>
    <w:p w:rsidR="00D87FFE" w:rsidRPr="0098432C" w:rsidRDefault="00D87FFE" w:rsidP="00E034F8">
      <w:pPr>
        <w:spacing w:line="276" w:lineRule="auto"/>
        <w:ind w:firstLine="709"/>
      </w:pPr>
      <w:r w:rsidRPr="0098432C">
        <w:t>Число зарегистрированных браков уменьшилось по сравнению с аналогичным периодом предыдущего года с 411 до 356, а число разводов снизилось с 341 до 334, в результате количество зарегистрированных браков превышает число разводов всего на 6,6 %.</w:t>
      </w:r>
    </w:p>
    <w:p w:rsidR="00D87FFE" w:rsidRPr="0098432C" w:rsidRDefault="00D87FFE" w:rsidP="00E034F8">
      <w:pPr>
        <w:spacing w:line="276" w:lineRule="auto"/>
        <w:ind w:firstLine="709"/>
      </w:pPr>
    </w:p>
    <w:p w:rsidR="00D87FFE" w:rsidRPr="0098432C" w:rsidRDefault="00D87FFE" w:rsidP="00E034F8">
      <w:pPr>
        <w:spacing w:after="120" w:line="276" w:lineRule="auto"/>
        <w:jc w:val="center"/>
        <w:rPr>
          <w:rFonts w:eastAsia="Times New Roman"/>
          <w:b/>
          <w:bCs/>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8"/>
        <w:rPr>
          <w:rFonts w:eastAsia="Times New Roman"/>
          <w:bCs/>
          <w:lang w:eastAsia="ru-RU"/>
        </w:rPr>
      </w:pPr>
      <w:r w:rsidRPr="0098432C">
        <w:rPr>
          <w:rFonts w:eastAsia="Times New Roman"/>
          <w:b/>
          <w:bCs/>
          <w:lang w:eastAsia="ru-RU"/>
        </w:rPr>
        <w:t>Показатель 31.</w:t>
      </w:r>
      <w:r w:rsidRPr="0098432C">
        <w:rPr>
          <w:rFonts w:eastAsia="Times New Roman"/>
          <w:bCs/>
          <w:lang w:eastAsia="ru-RU"/>
        </w:rPr>
        <w:t xml:space="preserve"> </w:t>
      </w:r>
      <w:r w:rsidRPr="0098432C">
        <w:rPr>
          <w:rFonts w:eastAsia="Times New Roman"/>
          <w:b/>
          <w:bCs/>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98432C">
        <w:rPr>
          <w:rFonts w:eastAsia="Times New Roman"/>
          <w:bCs/>
          <w:lang w:eastAsia="ru-RU"/>
        </w:rPr>
        <w:t>.</w:t>
      </w:r>
    </w:p>
    <w:p w:rsidR="00D87FFE" w:rsidRPr="0098432C" w:rsidRDefault="00D87FFE" w:rsidP="00E034F8">
      <w:pPr>
        <w:spacing w:line="276" w:lineRule="auto"/>
        <w:ind w:firstLine="709"/>
        <w:rPr>
          <w:bCs/>
        </w:rPr>
      </w:pPr>
      <w:r w:rsidRPr="0098432C">
        <w:rPr>
          <w:bCs/>
        </w:rPr>
        <w:t>В 2018 году значение показателя составило 82,0 %, что меньше 2017 года на 1,2 %.</w:t>
      </w:r>
    </w:p>
    <w:p w:rsidR="00D87FFE" w:rsidRPr="0098432C" w:rsidRDefault="00D87FFE" w:rsidP="00E034F8">
      <w:pPr>
        <w:spacing w:line="276" w:lineRule="auto"/>
        <w:ind w:firstLine="709"/>
        <w:rPr>
          <w:bCs/>
        </w:rPr>
      </w:pPr>
      <w:r w:rsidRPr="0098432C">
        <w:rPr>
          <w:bCs/>
        </w:rPr>
        <w:t>В 2019-2021 годах значение показателя планируется с увеличением по отношению к 2018 году в диапазоне от 6,2 % до 12,8 %.</w:t>
      </w:r>
    </w:p>
    <w:p w:rsidR="00D87FFE" w:rsidRPr="0098432C" w:rsidRDefault="00D87FFE" w:rsidP="00E034F8">
      <w:pPr>
        <w:spacing w:line="276" w:lineRule="auto"/>
        <w:ind w:firstLine="708"/>
        <w:rPr>
          <w:rFonts w:eastAsia="Times New Roman"/>
          <w:bCs/>
          <w:lang w:eastAsia="ru-RU"/>
        </w:rPr>
      </w:pPr>
    </w:p>
    <w:p w:rsidR="00D87FFE" w:rsidRPr="0098432C" w:rsidRDefault="00D87FFE" w:rsidP="00E034F8">
      <w:pPr>
        <w:spacing w:line="276" w:lineRule="auto"/>
        <w:ind w:firstLine="708"/>
        <w:rPr>
          <w:rFonts w:eastAsia="Times New Roman"/>
          <w:b/>
          <w:bCs/>
          <w:lang w:eastAsia="ru-RU"/>
        </w:rPr>
      </w:pPr>
      <w:r w:rsidRPr="0098432C">
        <w:rPr>
          <w:rFonts w:eastAsia="Times New Roman"/>
          <w:b/>
          <w:bCs/>
          <w:lang w:eastAsia="ru-RU"/>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Организации муниципальной формы собственности, находящиеся в стадии банкротства, в 2016-2018 годах отсутствовали. Значение показателя равно 0.</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В 2019-2021 годах ожидается нулевое значение данного показателя.</w:t>
      </w:r>
    </w:p>
    <w:p w:rsidR="00D87FFE" w:rsidRPr="0098432C" w:rsidRDefault="00D87FFE" w:rsidP="00E034F8">
      <w:pPr>
        <w:spacing w:line="276" w:lineRule="auto"/>
        <w:ind w:firstLine="708"/>
        <w:rPr>
          <w:rFonts w:eastAsia="Times New Roman"/>
          <w:bCs/>
          <w:lang w:eastAsia="ru-RU"/>
        </w:rPr>
      </w:pPr>
    </w:p>
    <w:p w:rsidR="00D87FFE" w:rsidRPr="0098432C" w:rsidRDefault="00D87FFE" w:rsidP="00E034F8">
      <w:pPr>
        <w:spacing w:line="276" w:lineRule="auto"/>
        <w:ind w:firstLine="708"/>
        <w:rPr>
          <w:rFonts w:eastAsia="Times New Roman"/>
          <w:bCs/>
          <w:lang w:eastAsia="ru-RU"/>
        </w:rPr>
      </w:pPr>
      <w:r w:rsidRPr="0098432C">
        <w:rPr>
          <w:rFonts w:eastAsia="Times New Roman"/>
          <w:b/>
          <w:bCs/>
          <w:lang w:eastAsia="ru-RU"/>
        </w:rPr>
        <w:t>Показатель 33.</w:t>
      </w:r>
      <w:r w:rsidRPr="0098432C">
        <w:rPr>
          <w:lang w:eastAsia="ru-RU"/>
        </w:rPr>
        <w:t xml:space="preserve"> </w:t>
      </w:r>
      <w:r w:rsidRPr="0098432C">
        <w:rPr>
          <w:b/>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98432C">
        <w:rPr>
          <w:lang w:eastAsia="ru-RU"/>
        </w:rPr>
        <w:t>.</w:t>
      </w:r>
    </w:p>
    <w:p w:rsidR="00D87FFE" w:rsidRPr="0098432C" w:rsidRDefault="00D87FFE" w:rsidP="00E034F8">
      <w:pPr>
        <w:spacing w:line="276" w:lineRule="auto"/>
        <w:ind w:firstLine="698"/>
      </w:pPr>
      <w:r w:rsidRPr="0098432C">
        <w:t>В 2018 году объем не завершенного в установленные сроки строительства, осуществляемого за счет средств бюджета городского округа, составил 42 070,63 тыс. руб., что в 2 раза ниже уровня 2017 года.</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lastRenderedPageBreak/>
        <w:t>Прогноз на трехлетний период</w:t>
      </w:r>
    </w:p>
    <w:p w:rsidR="00D87FFE" w:rsidRPr="0098432C" w:rsidRDefault="00D87FFE" w:rsidP="00E034F8">
      <w:pPr>
        <w:spacing w:line="276" w:lineRule="auto"/>
        <w:ind w:firstLine="708"/>
        <w:rPr>
          <w:rFonts w:eastAsia="Times New Roman"/>
          <w:u w:val="single"/>
          <w:lang w:eastAsia="ru-RU"/>
        </w:rPr>
      </w:pPr>
      <w:r w:rsidRPr="0098432C">
        <w:rPr>
          <w:rFonts w:eastAsia="Times New Roman"/>
          <w:lang w:eastAsia="ru-RU"/>
        </w:rPr>
        <w:t>В</w:t>
      </w:r>
      <w:r w:rsidRPr="0098432C">
        <w:t xml:space="preserve"> 2019-2021 годах прогнозируется понижение объема незавершенного строительства с 51 068,84 тыс. руб. в 2019 году до 36 000 тыс. руб. в 2021 году.</w:t>
      </w:r>
    </w:p>
    <w:p w:rsidR="00D87FFE" w:rsidRPr="0098432C" w:rsidRDefault="00D87FFE" w:rsidP="00E034F8">
      <w:pPr>
        <w:spacing w:line="276" w:lineRule="auto"/>
        <w:ind w:firstLine="698"/>
      </w:pPr>
    </w:p>
    <w:p w:rsidR="00D87FFE" w:rsidRPr="0098432C" w:rsidRDefault="00D87FFE" w:rsidP="00E034F8">
      <w:pPr>
        <w:spacing w:line="276" w:lineRule="auto"/>
        <w:ind w:firstLine="708"/>
        <w:rPr>
          <w:rFonts w:eastAsia="Times New Roman"/>
          <w:bCs/>
          <w:lang w:eastAsia="ru-RU"/>
        </w:rPr>
      </w:pPr>
      <w:r w:rsidRPr="0098432C">
        <w:rPr>
          <w:rFonts w:eastAsia="Times New Roman"/>
          <w:b/>
          <w:bCs/>
          <w:lang w:eastAsia="ru-RU"/>
        </w:rPr>
        <w:t>Показатель 34.</w:t>
      </w:r>
      <w:r w:rsidRPr="0098432C">
        <w:rPr>
          <w:rFonts w:eastAsia="Times New Roman"/>
          <w:bCs/>
          <w:lang w:eastAsia="ru-RU"/>
        </w:rPr>
        <w:t xml:space="preserve"> </w:t>
      </w:r>
      <w:r w:rsidRPr="0098432C">
        <w:rPr>
          <w:rFonts w:eastAsia="Times New Roman"/>
          <w:b/>
          <w:bCs/>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98432C">
        <w:rPr>
          <w:rFonts w:eastAsia="Times New Roman"/>
          <w:bCs/>
          <w:lang w:eastAsia="ru-RU"/>
        </w:rPr>
        <w:t>.</w:t>
      </w:r>
    </w:p>
    <w:p w:rsidR="00D87FFE" w:rsidRPr="0098432C" w:rsidRDefault="00D87FFE" w:rsidP="00E034F8">
      <w:pPr>
        <w:spacing w:line="276" w:lineRule="auto"/>
        <w:ind w:firstLine="708"/>
        <w:rPr>
          <w:rFonts w:eastAsia="Times New Roman"/>
          <w:bCs/>
          <w:lang w:eastAsia="ru-RU"/>
        </w:rPr>
      </w:pPr>
      <w:r w:rsidRPr="0098432C">
        <w:rPr>
          <w:rFonts w:eastAsia="Times New Roman"/>
          <w:bCs/>
          <w:lang w:eastAsia="ru-RU"/>
        </w:rPr>
        <w:t>Значение показателя в 2018 году, как и в 2017 году, составило 0 %.</w:t>
      </w:r>
    </w:p>
    <w:p w:rsidR="00D87FFE" w:rsidRPr="0098432C" w:rsidRDefault="00D87FFE" w:rsidP="00E034F8">
      <w:pPr>
        <w:spacing w:line="276" w:lineRule="auto"/>
        <w:ind w:firstLine="708"/>
        <w:rPr>
          <w:rFonts w:eastAsia="Times New Roman"/>
          <w:lang w:eastAsia="ru-RU"/>
        </w:rPr>
      </w:pPr>
      <w:r w:rsidRPr="0098432C">
        <w:rPr>
          <w:rFonts w:eastAsia="Times New Roman"/>
          <w:lang w:eastAsia="ru-RU"/>
        </w:rPr>
        <w:t>В 2019-2021 годах прогнозируется нулевое значение показателя.</w:t>
      </w:r>
    </w:p>
    <w:p w:rsidR="00D87FFE" w:rsidRPr="0098432C" w:rsidRDefault="00D87FFE" w:rsidP="00E034F8">
      <w:pPr>
        <w:spacing w:line="276" w:lineRule="auto"/>
        <w:ind w:firstLine="708"/>
        <w:rPr>
          <w:rFonts w:eastAsia="Times New Roman"/>
          <w:lang w:eastAsia="ru-RU"/>
        </w:rPr>
      </w:pPr>
    </w:p>
    <w:p w:rsidR="00D87FFE" w:rsidRPr="0098432C" w:rsidRDefault="00D87FFE" w:rsidP="00E034F8">
      <w:pPr>
        <w:spacing w:line="276" w:lineRule="auto"/>
        <w:ind w:firstLine="708"/>
        <w:rPr>
          <w:rFonts w:eastAsia="Times New Roman"/>
          <w:b/>
          <w:bCs/>
          <w:lang w:eastAsia="ru-RU"/>
        </w:rPr>
      </w:pPr>
      <w:r w:rsidRPr="0098432C">
        <w:rPr>
          <w:rFonts w:eastAsia="Times New Roman"/>
          <w:b/>
          <w:bCs/>
          <w:lang w:eastAsia="ru-RU"/>
        </w:rPr>
        <w:t>Показатель 35.</w:t>
      </w:r>
      <w:r w:rsidRPr="0098432C">
        <w:rPr>
          <w:rFonts w:eastAsia="Times New Roman"/>
          <w:bCs/>
          <w:lang w:eastAsia="ru-RU"/>
        </w:rPr>
        <w:t xml:space="preserve"> </w:t>
      </w:r>
      <w:r w:rsidRPr="0098432C">
        <w:rPr>
          <w:rFonts w:eastAsia="Times New Roman"/>
          <w:b/>
          <w:bCs/>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98432C">
        <w:rPr>
          <w:rFonts w:eastAsia="Times New Roman"/>
          <w:bCs/>
          <w:lang w:eastAsia="ru-RU"/>
        </w:rPr>
        <w:t>.</w:t>
      </w:r>
    </w:p>
    <w:p w:rsidR="00D87FFE" w:rsidRPr="0098432C" w:rsidRDefault="00D87FFE" w:rsidP="00E034F8">
      <w:pPr>
        <w:spacing w:line="276" w:lineRule="auto"/>
        <w:ind w:firstLine="709"/>
        <w:rPr>
          <w:bCs/>
        </w:rPr>
      </w:pPr>
      <w:proofErr w:type="gramStart"/>
      <w:r w:rsidRPr="0098432C">
        <w:rPr>
          <w:bC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121,129 (без учета федеральных средств) по форме № 0503387 «Справочная таблица к отчету об исполнении консолидированного бюджета» по состоянию на 01.01.2019 (факт) к среднегодовой численности постоянного населения муниципального образования</w:t>
      </w:r>
      <w:proofErr w:type="gramEnd"/>
      <w:r w:rsidRPr="0098432C">
        <w:rPr>
          <w:bCs/>
        </w:rPr>
        <w:t xml:space="preserve"> (показатель №38 «Среднегодовая численность постоянного населения», согласованный </w:t>
      </w:r>
      <w:proofErr w:type="gramStart"/>
      <w:r w:rsidRPr="0098432C">
        <w:rPr>
          <w:bCs/>
        </w:rPr>
        <w:t>в ГАС</w:t>
      </w:r>
      <w:proofErr w:type="gramEnd"/>
      <w:r w:rsidRPr="0098432C">
        <w:rPr>
          <w:bCs/>
        </w:rPr>
        <w:t xml:space="preserve"> «Управление»). В 2018 году данный показатель составил 2063,58 рублей, по сравнению с 2017 годом увеличение на 6,5 %.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8"/>
        <w:rPr>
          <w:bCs/>
        </w:rPr>
      </w:pPr>
      <w:r w:rsidRPr="0098432C">
        <w:rPr>
          <w:rFonts w:eastAsia="Times New Roman"/>
          <w:bCs/>
          <w:lang w:eastAsia="ru-RU"/>
        </w:rPr>
        <w:t xml:space="preserve">Значение показателя </w:t>
      </w:r>
      <w:r w:rsidRPr="0098432C">
        <w:rPr>
          <w:bCs/>
        </w:rPr>
        <w:t xml:space="preserve">в 2019-2021 годах </w:t>
      </w:r>
      <w:r w:rsidRPr="0098432C">
        <w:rPr>
          <w:rFonts w:eastAsia="Times New Roman"/>
          <w:bCs/>
          <w:lang w:eastAsia="ru-RU"/>
        </w:rPr>
        <w:t>планируется</w:t>
      </w:r>
      <w:r w:rsidRPr="0098432C">
        <w:rPr>
          <w:bCs/>
        </w:rPr>
        <w:t xml:space="preserve"> с увеличением от 5,2 % в 2019 году до 7,7 % в 2021 году по отношению к расходам 2018 года.</w:t>
      </w:r>
    </w:p>
    <w:p w:rsidR="00D87FFE" w:rsidRPr="0098432C" w:rsidRDefault="00D87FFE" w:rsidP="00E034F8">
      <w:pPr>
        <w:spacing w:line="276" w:lineRule="auto"/>
        <w:ind w:firstLine="708"/>
        <w:rPr>
          <w:rFonts w:eastAsia="Times New Roman"/>
          <w:bCs/>
          <w:lang w:eastAsia="ru-RU"/>
        </w:rPr>
      </w:pPr>
    </w:p>
    <w:p w:rsidR="00D87FFE" w:rsidRPr="0098432C" w:rsidRDefault="00D87FFE" w:rsidP="00E034F8">
      <w:pPr>
        <w:spacing w:line="276" w:lineRule="auto"/>
        <w:ind w:firstLine="708"/>
        <w:rPr>
          <w:b/>
          <w:lang w:eastAsia="ru-RU"/>
        </w:rPr>
      </w:pPr>
      <w:r w:rsidRPr="0098432C">
        <w:rPr>
          <w:rFonts w:eastAsia="Times New Roman"/>
          <w:b/>
          <w:bCs/>
          <w:lang w:eastAsia="ru-RU"/>
        </w:rPr>
        <w:t>Показатель 36.</w:t>
      </w:r>
      <w:r w:rsidRPr="0098432C">
        <w:rPr>
          <w:rFonts w:eastAsia="Times New Roman"/>
          <w:lang w:eastAsia="ru-RU"/>
        </w:rPr>
        <w:t xml:space="preserve"> </w:t>
      </w:r>
      <w:r w:rsidRPr="0098432C">
        <w:rPr>
          <w:rFonts w:eastAsia="Times New Roman"/>
          <w:b/>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98432C">
        <w:rPr>
          <w:rFonts w:eastAsia="Times New Roman"/>
          <w:lang w:eastAsia="ru-RU"/>
        </w:rPr>
        <w:t>.</w:t>
      </w:r>
    </w:p>
    <w:p w:rsidR="00D87FFE" w:rsidRPr="0098432C" w:rsidRDefault="00D87FFE" w:rsidP="00E034F8">
      <w:pPr>
        <w:spacing w:line="276" w:lineRule="auto"/>
        <w:ind w:firstLine="708"/>
        <w:rPr>
          <w:b/>
          <w:lang w:eastAsia="ru-RU"/>
        </w:rPr>
      </w:pPr>
      <w:r w:rsidRPr="0098432C">
        <w:rPr>
          <w:rFonts w:eastAsia="Times New Roman"/>
          <w:lang w:eastAsia="ru-RU"/>
        </w:rPr>
        <w:t>Генеральный план Сосновоборского городского округа утвержден решением совета депутатов Сосновоборского городского округа от 26 декабря 2012 года № 163 и в рассматриваемый период отмена его не планируется.</w:t>
      </w:r>
    </w:p>
    <w:p w:rsidR="00D87FFE" w:rsidRPr="0098432C" w:rsidRDefault="00D87FFE" w:rsidP="00E034F8">
      <w:pPr>
        <w:spacing w:line="276" w:lineRule="auto"/>
        <w:ind w:firstLine="708"/>
        <w:rPr>
          <w:b/>
          <w:lang w:eastAsia="ru-RU"/>
        </w:rPr>
      </w:pPr>
    </w:p>
    <w:p w:rsidR="00D87FFE" w:rsidRPr="0098432C" w:rsidRDefault="00D87FFE" w:rsidP="00E034F8">
      <w:pPr>
        <w:spacing w:line="276" w:lineRule="auto"/>
        <w:ind w:firstLine="708"/>
        <w:rPr>
          <w:b/>
          <w:lang w:eastAsia="ru-RU"/>
        </w:rPr>
      </w:pPr>
      <w:r w:rsidRPr="0098432C">
        <w:rPr>
          <w:b/>
          <w:lang w:eastAsia="ru-RU"/>
        </w:rPr>
        <w:t>Показатель 37. Удовлетворенность населения деятельностью органов местного самоуправления городского округа.</w:t>
      </w:r>
    </w:p>
    <w:p w:rsidR="00D87FFE" w:rsidRPr="0098432C" w:rsidRDefault="00D87FFE" w:rsidP="00E034F8">
      <w:pPr>
        <w:spacing w:line="276" w:lineRule="auto"/>
        <w:ind w:firstLine="709"/>
        <w:rPr>
          <w:rFonts w:eastAsia="Times New Roman"/>
          <w:lang w:eastAsia="ru-RU"/>
        </w:rPr>
      </w:pPr>
      <w:r w:rsidRPr="0098432C">
        <w:rPr>
          <w:lang w:eastAsia="ru-RU"/>
        </w:rPr>
        <w:t xml:space="preserve">В 2018 году составила 64 %, что ниже на 1 процент уровня 2017 года (65 %). </w:t>
      </w:r>
      <w:r w:rsidRPr="0098432C">
        <w:rPr>
          <w:rFonts w:eastAsia="Times New Roman"/>
          <w:lang w:eastAsia="ru-RU"/>
        </w:rPr>
        <w:t xml:space="preserve">На степень удовлетворенности населения деятельностью органов местного самоуправления повлияла смена главы администрации Сосновоборского городского округа и связанные с этим изменения в работе администрации, а также другие факторы, в том числе не зависящие от деятельности органов местного самоуправления. </w:t>
      </w:r>
    </w:p>
    <w:p w:rsidR="00D87FFE" w:rsidRPr="0098432C" w:rsidRDefault="00D87FFE" w:rsidP="00E034F8">
      <w:pPr>
        <w:spacing w:line="276" w:lineRule="auto"/>
        <w:ind w:firstLine="708"/>
        <w:rPr>
          <w:lang w:eastAsia="ru-RU"/>
        </w:rPr>
      </w:pPr>
      <w:r w:rsidRPr="0098432C">
        <w:rPr>
          <w:lang w:eastAsia="ru-RU"/>
        </w:rPr>
        <w:t>В 2019-2021 годах значение показателя планируется на уровне 2018 года.</w:t>
      </w:r>
    </w:p>
    <w:p w:rsidR="00D87FFE" w:rsidRPr="0098432C" w:rsidRDefault="00D87FFE" w:rsidP="00E034F8">
      <w:pPr>
        <w:spacing w:line="276" w:lineRule="auto"/>
        <w:ind w:firstLine="708"/>
        <w:rPr>
          <w:b/>
          <w:lang w:eastAsia="ru-RU"/>
        </w:rPr>
      </w:pPr>
    </w:p>
    <w:p w:rsidR="00D87FFE" w:rsidRPr="0098432C" w:rsidRDefault="00D87FFE" w:rsidP="00E034F8">
      <w:pPr>
        <w:spacing w:line="276" w:lineRule="auto"/>
        <w:ind w:firstLine="708"/>
        <w:rPr>
          <w:rFonts w:eastAsia="Times New Roman"/>
          <w:lang w:eastAsia="ru-RU"/>
        </w:rPr>
      </w:pPr>
      <w:r w:rsidRPr="0098432C">
        <w:rPr>
          <w:rFonts w:eastAsia="Times New Roman"/>
          <w:b/>
          <w:bCs/>
          <w:lang w:eastAsia="ru-RU"/>
        </w:rPr>
        <w:t xml:space="preserve">Показатель 38. </w:t>
      </w:r>
      <w:r w:rsidRPr="0098432C">
        <w:rPr>
          <w:rFonts w:eastAsia="Times New Roman"/>
          <w:b/>
          <w:lang w:eastAsia="ru-RU"/>
        </w:rPr>
        <w:t>Среднегодовая численность постоянного населения</w:t>
      </w:r>
      <w:r w:rsidRPr="0098432C">
        <w:rPr>
          <w:rFonts w:eastAsia="Times New Roman"/>
          <w:lang w:eastAsia="ru-RU"/>
        </w:rPr>
        <w:t>:</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2016 году – 67,8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100,4 %;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2017 году – 68,0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lastRenderedPageBreak/>
        <w:t>- в 2018 году – 68,2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xml:space="preserve">Основным источником роста среднегодовой численности населения округа является миграционный прирост, который перекрывает естественную убыль населения.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2019 году – 68,4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2020 году – 68,6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 в 2021 году – 68,8 тыс. чел., ро</w:t>
      </w:r>
      <w:proofErr w:type="gramStart"/>
      <w:r w:rsidRPr="0098432C">
        <w:rPr>
          <w:rFonts w:eastAsia="Times New Roman"/>
          <w:lang w:eastAsia="ru-RU"/>
        </w:rPr>
        <w:t>ст к пр</w:t>
      </w:r>
      <w:proofErr w:type="gramEnd"/>
      <w:r w:rsidRPr="0098432C">
        <w:rPr>
          <w:rFonts w:eastAsia="Times New Roman"/>
          <w:lang w:eastAsia="ru-RU"/>
        </w:rPr>
        <w:t>едыдущему году – 100,3 %.</w:t>
      </w:r>
    </w:p>
    <w:p w:rsidR="00D87FFE" w:rsidRPr="0098432C" w:rsidRDefault="00D87FFE" w:rsidP="00E034F8">
      <w:pPr>
        <w:spacing w:line="276" w:lineRule="auto"/>
        <w:ind w:firstLine="709"/>
        <w:rPr>
          <w:rFonts w:eastAsia="Times New Roman"/>
          <w:lang w:eastAsia="ru-RU"/>
        </w:rPr>
      </w:pPr>
      <w:r w:rsidRPr="0098432C">
        <w:rPr>
          <w:rFonts w:eastAsia="Times New Roman"/>
          <w:lang w:eastAsia="ru-RU"/>
        </w:rPr>
        <w:t>Рост среднегодовой численности населения округа прогнозируется за счет миграционного прироста, который в последние годы составляет 200-300 чел. в год и обеспечивает ежегодный рост численности населения округа примерно на 200 чел.</w:t>
      </w:r>
    </w:p>
    <w:p w:rsidR="00D87FFE" w:rsidRPr="0098432C" w:rsidRDefault="00D87FFE" w:rsidP="00E034F8">
      <w:pPr>
        <w:spacing w:line="276" w:lineRule="auto"/>
        <w:ind w:firstLine="709"/>
        <w:rPr>
          <w:rFonts w:eastAsia="Times New Roman"/>
          <w:lang w:eastAsia="ru-RU"/>
        </w:rPr>
      </w:pPr>
    </w:p>
    <w:p w:rsidR="00D87FFE" w:rsidRPr="0098432C" w:rsidRDefault="00D87FFE" w:rsidP="00E034F8">
      <w:pPr>
        <w:keepNext/>
        <w:spacing w:after="120" w:line="276" w:lineRule="auto"/>
        <w:jc w:val="center"/>
        <w:rPr>
          <w:rFonts w:eastAsia="Times New Roman"/>
          <w:b/>
          <w:sz w:val="28"/>
          <w:szCs w:val="28"/>
          <w:lang w:eastAsia="ru-RU"/>
        </w:rPr>
      </w:pPr>
      <w:r w:rsidRPr="0098432C">
        <w:rPr>
          <w:rFonts w:eastAsia="Times New Roman"/>
          <w:b/>
          <w:sz w:val="28"/>
          <w:szCs w:val="28"/>
          <w:lang w:val="en-US" w:eastAsia="ru-RU"/>
        </w:rPr>
        <w:t>IX</w:t>
      </w:r>
      <w:r w:rsidRPr="0098432C">
        <w:rPr>
          <w:rFonts w:eastAsia="Times New Roman"/>
          <w:b/>
          <w:sz w:val="28"/>
          <w:szCs w:val="28"/>
          <w:lang w:eastAsia="ru-RU"/>
        </w:rPr>
        <w:t>. Энергосбережение и повышение энергетической эффективности</w:t>
      </w:r>
    </w:p>
    <w:p w:rsidR="00D87FFE" w:rsidRPr="0098432C" w:rsidRDefault="00D87FFE" w:rsidP="00E034F8">
      <w:pPr>
        <w:spacing w:after="120" w:line="276" w:lineRule="auto"/>
        <w:ind w:firstLine="709"/>
        <w:jc w:val="center"/>
        <w:rPr>
          <w:rFonts w:eastAsia="Times New Roman"/>
          <w:b/>
          <w:sz w:val="28"/>
          <w:szCs w:val="28"/>
          <w:lang w:bidi="en-US"/>
        </w:rPr>
      </w:pPr>
      <w:r w:rsidRPr="0098432C">
        <w:rPr>
          <w:rFonts w:eastAsia="Times New Roman"/>
          <w:b/>
          <w:sz w:val="28"/>
          <w:szCs w:val="28"/>
          <w:lang w:bidi="en-US"/>
        </w:rPr>
        <w:t>Характеристика</w:t>
      </w:r>
      <w:r w:rsidRPr="0098432C">
        <w:rPr>
          <w:rFonts w:eastAsia="Times New Roman"/>
          <w:b/>
          <w:caps/>
          <w:sz w:val="28"/>
          <w:szCs w:val="28"/>
          <w:lang w:bidi="en-US"/>
        </w:rPr>
        <w:t xml:space="preserve"> </w:t>
      </w:r>
      <w:r w:rsidRPr="0098432C">
        <w:rPr>
          <w:rFonts w:eastAsia="Times New Roman"/>
          <w:b/>
          <w:sz w:val="28"/>
          <w:szCs w:val="28"/>
          <w:lang w:bidi="en-US"/>
        </w:rPr>
        <w:t>отрасли</w:t>
      </w:r>
    </w:p>
    <w:p w:rsidR="00D87FFE" w:rsidRPr="0098432C" w:rsidRDefault="00D87FFE" w:rsidP="00E034F8">
      <w:pPr>
        <w:spacing w:before="120" w:line="276" w:lineRule="auto"/>
        <w:ind w:firstLine="709"/>
        <w:jc w:val="center"/>
        <w:rPr>
          <w:rFonts w:eastAsia="Times New Roman"/>
          <w:b/>
          <w:caps/>
          <w:sz w:val="10"/>
          <w:szCs w:val="10"/>
          <w:lang w:bidi="en-US"/>
        </w:rPr>
      </w:pPr>
    </w:p>
    <w:p w:rsidR="00D87FFE" w:rsidRPr="0098432C" w:rsidRDefault="00D87FFE" w:rsidP="00E034F8">
      <w:pPr>
        <w:tabs>
          <w:tab w:val="left" w:pos="851"/>
        </w:tabs>
        <w:autoSpaceDE w:val="0"/>
        <w:autoSpaceDN w:val="0"/>
        <w:spacing w:line="276" w:lineRule="auto"/>
        <w:ind w:firstLine="709"/>
      </w:pPr>
      <w:r w:rsidRPr="0098432C">
        <w:rPr>
          <w:rFonts w:eastAsia="Times New Roman"/>
          <w:bCs/>
          <w:lang w:eastAsia="ru-RU"/>
        </w:rPr>
        <w:t xml:space="preserve">В рамках </w:t>
      </w:r>
      <w:r w:rsidRPr="0098432C">
        <w:rPr>
          <w:rFonts w:eastAsia="Times New Roman"/>
          <w:lang w:eastAsia="ru-RU"/>
        </w:rPr>
        <w:t>муниципальной программы Сосновоборского городского округа «Городское хозяйство на 2014-2022 годы»</w:t>
      </w:r>
      <w:r w:rsidRPr="0098432C">
        <w:rPr>
          <w:rFonts w:eastAsia="Times New Roman"/>
          <w:bCs/>
          <w:lang w:eastAsia="ru-RU"/>
        </w:rPr>
        <w:t xml:space="preserve"> в 2018 году </w:t>
      </w:r>
      <w:r w:rsidRPr="0098432C">
        <w:t>выполнены работы по установке приборов учета коммунальных услуг на общую сумму 1452,0 тыс. руб.:</w:t>
      </w:r>
    </w:p>
    <w:p w:rsidR="00D87FFE" w:rsidRPr="0098432C" w:rsidRDefault="00D87FFE" w:rsidP="00E034F8">
      <w:pPr>
        <w:autoSpaceDE w:val="0"/>
        <w:autoSpaceDN w:val="0"/>
        <w:spacing w:line="276" w:lineRule="auto"/>
        <w:ind w:firstLine="709"/>
      </w:pPr>
      <w:r w:rsidRPr="0098432C">
        <w:t>- 3 ед. приборов учета тепловой энергии в 3 образовательных учреждениях и 1 ед. прибора учета тепловой энергии в учреждении культуры;</w:t>
      </w:r>
    </w:p>
    <w:p w:rsidR="00D87FFE" w:rsidRPr="0098432C" w:rsidRDefault="00D87FFE" w:rsidP="00E034F8">
      <w:pPr>
        <w:autoSpaceDE w:val="0"/>
        <w:autoSpaceDN w:val="0"/>
        <w:spacing w:line="276" w:lineRule="auto"/>
        <w:ind w:firstLine="709"/>
      </w:pPr>
      <w:r w:rsidRPr="0098432C">
        <w:t>- 2 ед. прибора учета холодного водоснабжения и 1 ед. горячего водоснабжения в 2-х образовательных учреждениях и 1 ед. прибора учета холодного водоснабжения и 1 ед. горячего водоснабжения в 1 учреждении культуры;</w:t>
      </w:r>
    </w:p>
    <w:p w:rsidR="00D87FFE" w:rsidRPr="0098432C" w:rsidRDefault="00D87FFE" w:rsidP="00E034F8">
      <w:pPr>
        <w:autoSpaceDE w:val="0"/>
        <w:autoSpaceDN w:val="0"/>
        <w:spacing w:line="276" w:lineRule="auto"/>
        <w:ind w:firstLine="709"/>
      </w:pPr>
      <w:r w:rsidRPr="0098432C">
        <w:t>- 1 ед. прибора учета электрической энергии в образовательном учреждении.</w:t>
      </w:r>
    </w:p>
    <w:p w:rsidR="00D87FFE" w:rsidRPr="0098432C" w:rsidRDefault="00D87FFE" w:rsidP="00E034F8">
      <w:pPr>
        <w:tabs>
          <w:tab w:val="num" w:pos="-2127"/>
        </w:tabs>
        <w:spacing w:line="276" w:lineRule="auto"/>
        <w:ind w:firstLine="709"/>
        <w:rPr>
          <w:bCs/>
        </w:rPr>
      </w:pPr>
      <w:proofErr w:type="gramStart"/>
      <w:r w:rsidRPr="0098432C">
        <w:rPr>
          <w:bCs/>
        </w:rPr>
        <w:t>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ЖКХ и транспорту Ленинградской области, СМУП «Водоканал» заключено Соглашение о предоставлении в 2018 году субсидии из областного бюджета Ленинградской области бюджету муниципального образования Сосновоборский городской</w:t>
      </w:r>
      <w:proofErr w:type="gramEnd"/>
      <w:r w:rsidRPr="0098432C">
        <w:rPr>
          <w:bCs/>
        </w:rPr>
        <w:t xml:space="preserve"> округ на мероприятия, направленные на безаварийную работу объектов водоснабжения и водоотведения  на общую сумму 12561,9 тыс. руб., в том числе:</w:t>
      </w:r>
    </w:p>
    <w:p w:rsidR="00D87FFE" w:rsidRPr="0098432C" w:rsidRDefault="00D87FFE" w:rsidP="00E034F8">
      <w:pPr>
        <w:tabs>
          <w:tab w:val="num" w:pos="-2127"/>
        </w:tabs>
        <w:spacing w:line="276" w:lineRule="auto"/>
        <w:ind w:firstLine="709"/>
        <w:rPr>
          <w:bCs/>
        </w:rPr>
      </w:pPr>
      <w:r w:rsidRPr="0098432C">
        <w:rPr>
          <w:bCs/>
        </w:rPr>
        <w:t xml:space="preserve">- из средств областного бюджета – </w:t>
      </w:r>
      <w:r w:rsidRPr="0098432C">
        <w:t xml:space="preserve">11305,8 </w:t>
      </w:r>
      <w:r w:rsidRPr="0098432C">
        <w:rPr>
          <w:bCs/>
        </w:rPr>
        <w:t>тыс. руб.;</w:t>
      </w:r>
    </w:p>
    <w:p w:rsidR="00D87FFE" w:rsidRPr="0098432C" w:rsidRDefault="00D87FFE" w:rsidP="00E034F8">
      <w:pPr>
        <w:tabs>
          <w:tab w:val="num" w:pos="-2127"/>
        </w:tabs>
        <w:spacing w:line="276" w:lineRule="auto"/>
        <w:ind w:firstLine="709"/>
        <w:rPr>
          <w:bCs/>
        </w:rPr>
      </w:pPr>
      <w:r w:rsidRPr="0098432C">
        <w:rPr>
          <w:bCs/>
        </w:rPr>
        <w:t>- из средств местного бюджета – 1256,2 тыс. руб.</w:t>
      </w:r>
    </w:p>
    <w:p w:rsidR="00D87FFE" w:rsidRPr="0098432C" w:rsidRDefault="00D87FFE" w:rsidP="00E034F8">
      <w:pPr>
        <w:tabs>
          <w:tab w:val="num" w:pos="-2127"/>
        </w:tabs>
        <w:spacing w:line="276" w:lineRule="auto"/>
        <w:ind w:firstLine="709"/>
        <w:rPr>
          <w:bCs/>
        </w:rPr>
      </w:pPr>
      <w:r w:rsidRPr="0098432C">
        <w:t>За счет средств субсидий произведен</w:t>
      </w:r>
      <w:r w:rsidRPr="0098432C">
        <w:rPr>
          <w:bCs/>
        </w:rPr>
        <w:t xml:space="preserve"> капитальный ремонт водопроводной сети общей  протяженностью 636,5 п.м. на  следующих участках: от ВК-55 до ВК-56 по ул. </w:t>
      </w:r>
      <w:proofErr w:type="gramStart"/>
      <w:r w:rsidRPr="0098432C">
        <w:rPr>
          <w:bCs/>
        </w:rPr>
        <w:t>Молодежная</w:t>
      </w:r>
      <w:proofErr w:type="gramEnd"/>
      <w:r w:rsidRPr="0098432C">
        <w:rPr>
          <w:bCs/>
        </w:rPr>
        <w:t xml:space="preserve"> и от ВК-7а до ВК-11 по проспекту Героев. </w:t>
      </w:r>
    </w:p>
    <w:p w:rsidR="00D87FFE" w:rsidRPr="0098432C" w:rsidRDefault="00D87FFE" w:rsidP="00E034F8">
      <w:pPr>
        <w:tabs>
          <w:tab w:val="num" w:pos="-2127"/>
        </w:tabs>
        <w:spacing w:line="276" w:lineRule="auto"/>
        <w:ind w:firstLine="709"/>
        <w:rPr>
          <w:rFonts w:eastAsia="Times New Roman"/>
          <w:bCs/>
          <w:lang w:eastAsia="ru-RU"/>
        </w:rPr>
      </w:pPr>
      <w:proofErr w:type="gramStart"/>
      <w:r w:rsidRPr="0098432C">
        <w:t>Заключено соглашение со СМУП «ТСП» о предоставлении субсидии в 2018 году из областного бюджета Ленинградской области, бюджета муниципального образования Сосновоборский городской округ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Ленинградской</w:t>
      </w:r>
      <w:proofErr w:type="gramEnd"/>
      <w:r w:rsidRPr="0098432C">
        <w:t xml:space="preserve"> области», в рамках которого произведены работы по капитальному ремонту тепловых сетей микрорайона 8 на участке Ду300 мм от ТК-82 до ТК-85 </w:t>
      </w:r>
      <w:r w:rsidRPr="0098432C">
        <w:lastRenderedPageBreak/>
        <w:t>протяженностью 320 п.м. в двухтрубном исполнении на общую сумму 15788,8 тыс. руб.,  в том числе из областного бюджета – 11568,7 тыс</w:t>
      </w:r>
      <w:proofErr w:type="gramStart"/>
      <w:r w:rsidRPr="0098432C">
        <w:t>.р</w:t>
      </w:r>
      <w:proofErr w:type="gramEnd"/>
      <w:r w:rsidRPr="0098432C">
        <w:t>уб., из местного бюджета – 3220,0 тыс. руб. , за счет средств СМУП «ТСП» – 1000 тыс. руб.</w:t>
      </w:r>
    </w:p>
    <w:p w:rsidR="00D87FFE" w:rsidRPr="0098432C" w:rsidRDefault="00D87FFE" w:rsidP="00E034F8">
      <w:pPr>
        <w:tabs>
          <w:tab w:val="num" w:pos="-2127"/>
        </w:tabs>
        <w:spacing w:line="276" w:lineRule="auto"/>
        <w:ind w:firstLine="709"/>
      </w:pPr>
    </w:p>
    <w:p w:rsidR="00D87FFE" w:rsidRPr="0098432C" w:rsidRDefault="00D87FFE" w:rsidP="00E034F8">
      <w:pPr>
        <w:keepNext/>
        <w:tabs>
          <w:tab w:val="left" w:pos="3130"/>
          <w:tab w:val="center" w:pos="5032"/>
        </w:tabs>
        <w:spacing w:after="120" w:line="276" w:lineRule="auto"/>
        <w:jc w:val="center"/>
        <w:rPr>
          <w:rFonts w:eastAsia="Times New Roman"/>
          <w:b/>
          <w:bCs/>
          <w:sz w:val="28"/>
          <w:szCs w:val="28"/>
          <w:lang w:eastAsia="ru-RU"/>
        </w:rPr>
      </w:pPr>
      <w:r w:rsidRPr="0098432C">
        <w:rPr>
          <w:rFonts w:eastAsia="Times New Roman"/>
          <w:b/>
          <w:bCs/>
          <w:sz w:val="28"/>
          <w:szCs w:val="28"/>
          <w:lang w:eastAsia="ru-RU"/>
        </w:rPr>
        <w:t>Показатели</w:t>
      </w: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39. Удельная величина потребления энергетических ресурсов в многоквартирных домах: электрическая энергия, тепловая энергия, горячая вода, холодная вода, природный газ.</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В 2018 году удельная величина потребления энергетических ресурсов в многоквартирных домах по:</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электрической энергии уменьшилась на 10,98 кВт/</w:t>
      </w:r>
      <w:proofErr w:type="gramStart"/>
      <w:r w:rsidRPr="0098432C">
        <w:rPr>
          <w:rFonts w:eastAsia="Times New Roman"/>
          <w:bCs/>
          <w:lang w:eastAsia="ru-RU"/>
        </w:rPr>
        <w:t>ч</w:t>
      </w:r>
      <w:proofErr w:type="gramEnd"/>
      <w:r w:rsidRPr="0098432C">
        <w:rPr>
          <w:rFonts w:eastAsia="Times New Roman"/>
          <w:bCs/>
          <w:lang w:eastAsia="ru-RU"/>
        </w:rPr>
        <w:t xml:space="preserve"> на 1 проживающего или на 1,5 %;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тепловой энергии увеличилась на 0,06 Гкал на 1 кв</w:t>
      </w:r>
      <w:proofErr w:type="gramStart"/>
      <w:r w:rsidRPr="0098432C">
        <w:rPr>
          <w:rFonts w:eastAsia="Times New Roman"/>
          <w:bCs/>
          <w:lang w:eastAsia="ru-RU"/>
        </w:rPr>
        <w:t>.м</w:t>
      </w:r>
      <w:proofErr w:type="gramEnd"/>
      <w:r w:rsidRPr="0098432C">
        <w:rPr>
          <w:rFonts w:eastAsia="Times New Roman"/>
          <w:bCs/>
          <w:lang w:eastAsia="ru-RU"/>
        </w:rPr>
        <w:t xml:space="preserve"> общей площади или на 42,8 %;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горячей воде уменьшилась на 0,72 куб</w:t>
      </w:r>
      <w:proofErr w:type="gramStart"/>
      <w:r w:rsidRPr="0098432C">
        <w:rPr>
          <w:rFonts w:eastAsia="Times New Roman"/>
          <w:bCs/>
          <w:lang w:eastAsia="ru-RU"/>
        </w:rPr>
        <w:t>.м</w:t>
      </w:r>
      <w:proofErr w:type="gramEnd"/>
      <w:r w:rsidRPr="0098432C">
        <w:rPr>
          <w:rFonts w:eastAsia="Times New Roman"/>
          <w:bCs/>
          <w:lang w:eastAsia="ru-RU"/>
        </w:rPr>
        <w:t xml:space="preserve"> на 1 проживающего или на 2,6 %;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холодной воде увеличилась на 1,63 куб</w:t>
      </w:r>
      <w:proofErr w:type="gramStart"/>
      <w:r w:rsidRPr="0098432C">
        <w:rPr>
          <w:rFonts w:eastAsia="Times New Roman"/>
          <w:bCs/>
          <w:lang w:eastAsia="ru-RU"/>
        </w:rPr>
        <w:t>.м</w:t>
      </w:r>
      <w:proofErr w:type="gramEnd"/>
      <w:r w:rsidRPr="0098432C">
        <w:rPr>
          <w:rFonts w:eastAsia="Times New Roman"/>
          <w:bCs/>
          <w:lang w:eastAsia="ru-RU"/>
        </w:rPr>
        <w:t xml:space="preserve"> на 1 проживающего или на 4,6 %;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природному газу снизалась на 18,9 куб</w:t>
      </w:r>
      <w:proofErr w:type="gramStart"/>
      <w:r w:rsidRPr="0098432C">
        <w:rPr>
          <w:rFonts w:eastAsia="Times New Roman"/>
          <w:bCs/>
          <w:lang w:eastAsia="ru-RU"/>
        </w:rPr>
        <w:t>.м</w:t>
      </w:r>
      <w:proofErr w:type="gramEnd"/>
      <w:r w:rsidRPr="0098432C">
        <w:rPr>
          <w:rFonts w:eastAsia="Times New Roman"/>
          <w:bCs/>
          <w:lang w:eastAsia="ru-RU"/>
        </w:rPr>
        <w:t xml:space="preserve"> на 1 проживающего или на 16,8 %.</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В 2019-2021 годах удельная величина потребления энергетических ресурсов в многоквартирных домах планируется на уровне 2018 года.</w:t>
      </w:r>
    </w:p>
    <w:p w:rsidR="00D87FFE" w:rsidRPr="0098432C" w:rsidRDefault="00D87FFE" w:rsidP="00E034F8">
      <w:pPr>
        <w:spacing w:line="276" w:lineRule="auto"/>
        <w:ind w:firstLine="709"/>
        <w:rPr>
          <w:rFonts w:eastAsia="Times New Roman"/>
          <w:bCs/>
          <w:lang w:eastAsia="ru-RU"/>
        </w:rPr>
      </w:pPr>
    </w:p>
    <w:p w:rsidR="00D87FFE" w:rsidRPr="0098432C" w:rsidRDefault="00D87FFE" w:rsidP="00E034F8">
      <w:pPr>
        <w:spacing w:line="276" w:lineRule="auto"/>
        <w:ind w:firstLine="709"/>
        <w:rPr>
          <w:rFonts w:eastAsia="Times New Roman"/>
          <w:b/>
          <w:bCs/>
          <w:lang w:eastAsia="ru-RU"/>
        </w:rPr>
      </w:pPr>
      <w:r w:rsidRPr="0098432C">
        <w:rPr>
          <w:rFonts w:eastAsia="Times New Roman"/>
          <w:b/>
          <w:bCs/>
          <w:lang w:eastAsia="ru-RU"/>
        </w:rPr>
        <w:t>Показатель 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xml:space="preserve">В 2018 году удельная величина потребления энергетических ресурсов </w:t>
      </w:r>
      <w:proofErr w:type="gramStart"/>
      <w:r w:rsidRPr="0098432C">
        <w:rPr>
          <w:rFonts w:eastAsia="Times New Roman"/>
          <w:bCs/>
          <w:lang w:eastAsia="ru-RU"/>
        </w:rPr>
        <w:t>муниципальными</w:t>
      </w:r>
      <w:proofErr w:type="gramEnd"/>
      <w:r w:rsidRPr="0098432C">
        <w:rPr>
          <w:rFonts w:eastAsia="Times New Roman"/>
          <w:bCs/>
          <w:lang w:eastAsia="ru-RU"/>
        </w:rPr>
        <w:t xml:space="preserve"> бюджетными учреждениям по:</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электрической энергии уменьшилась на 5,3 кВт/</w:t>
      </w:r>
      <w:proofErr w:type="gramStart"/>
      <w:r w:rsidRPr="0098432C">
        <w:rPr>
          <w:rFonts w:eastAsia="Times New Roman"/>
          <w:bCs/>
          <w:lang w:eastAsia="ru-RU"/>
        </w:rPr>
        <w:t>ч</w:t>
      </w:r>
      <w:proofErr w:type="gramEnd"/>
      <w:r w:rsidRPr="0098432C">
        <w:rPr>
          <w:rFonts w:eastAsia="Times New Roman"/>
          <w:bCs/>
          <w:lang w:eastAsia="ru-RU"/>
        </w:rPr>
        <w:t xml:space="preserve"> на 1 человека или на 8,3 %;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тепловой энергии снизилась на 0,03 Гкал на 1 кв.м. общей площади бюджетных учреждений или на 15 %;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xml:space="preserve">- горячей воде снизилась на 0,05 куб. </w:t>
      </w:r>
      <w:proofErr w:type="gramStart"/>
      <w:r w:rsidRPr="0098432C">
        <w:rPr>
          <w:rFonts w:eastAsia="Times New Roman"/>
          <w:bCs/>
          <w:lang w:eastAsia="ru-RU"/>
        </w:rPr>
        <w:t>м</w:t>
      </w:r>
      <w:proofErr w:type="gramEnd"/>
      <w:r w:rsidRPr="0098432C">
        <w:rPr>
          <w:rFonts w:eastAsia="Times New Roman"/>
          <w:bCs/>
          <w:lang w:eastAsia="ru-RU"/>
        </w:rPr>
        <w:t xml:space="preserve"> на 1 человека населения или на 7,1 %;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xml:space="preserve">- холодной воде снизилась на 0,18 куб. </w:t>
      </w:r>
      <w:proofErr w:type="gramStart"/>
      <w:r w:rsidRPr="0098432C">
        <w:rPr>
          <w:rFonts w:eastAsia="Times New Roman"/>
          <w:bCs/>
          <w:lang w:eastAsia="ru-RU"/>
        </w:rPr>
        <w:t>м</w:t>
      </w:r>
      <w:proofErr w:type="gramEnd"/>
      <w:r w:rsidRPr="0098432C">
        <w:rPr>
          <w:rFonts w:eastAsia="Times New Roman"/>
          <w:bCs/>
          <w:lang w:eastAsia="ru-RU"/>
        </w:rPr>
        <w:t xml:space="preserve"> на 1 человека населения или на 15 %.</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 природного газа муниципальные бюджетные учреждения не потребляют.</w:t>
      </w:r>
    </w:p>
    <w:p w:rsidR="00D87FFE" w:rsidRPr="0098432C" w:rsidRDefault="00D87FFE" w:rsidP="00E034F8">
      <w:pPr>
        <w:spacing w:line="276" w:lineRule="auto"/>
        <w:ind w:firstLine="708"/>
        <w:rPr>
          <w:rFonts w:eastAsia="Times New Roman"/>
          <w:u w:val="single"/>
          <w:lang w:eastAsia="ru-RU"/>
        </w:rPr>
      </w:pPr>
      <w:r w:rsidRPr="0098432C">
        <w:rPr>
          <w:rFonts w:eastAsia="Times New Roman"/>
          <w:u w:val="single"/>
          <w:lang w:eastAsia="ru-RU"/>
        </w:rPr>
        <w:t>Прогноз на трехлетний период</w:t>
      </w:r>
    </w:p>
    <w:p w:rsidR="00D87FFE" w:rsidRPr="0098432C" w:rsidRDefault="00D87FFE" w:rsidP="00E034F8">
      <w:pPr>
        <w:spacing w:line="276" w:lineRule="auto"/>
        <w:ind w:firstLine="709"/>
        <w:rPr>
          <w:rFonts w:eastAsia="Times New Roman"/>
          <w:bCs/>
          <w:lang w:eastAsia="ru-RU"/>
        </w:rPr>
      </w:pPr>
      <w:r w:rsidRPr="0098432C">
        <w:rPr>
          <w:rFonts w:eastAsia="Times New Roman"/>
          <w:bCs/>
          <w:lang w:eastAsia="ru-RU"/>
        </w:rPr>
        <w:t>В 2019-2021 годах удельная величина потребления энергетических ресурсов муниципальными бюджетными учреждениями планируется на уровне 2018 года.</w:t>
      </w:r>
    </w:p>
    <w:p w:rsidR="00F24E46" w:rsidRDefault="00F24E46" w:rsidP="00E034F8">
      <w:pPr>
        <w:spacing w:line="276" w:lineRule="auto"/>
      </w:pPr>
    </w:p>
    <w:sectPr w:rsidR="00F24E46" w:rsidSect="00921157">
      <w:pgSz w:w="11905" w:h="16838" w:code="9"/>
      <w:pgMar w:top="1021" w:right="680" w:bottom="1021" w:left="1361" w:header="0" w:footer="283"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7F75A3"/>
    <w:multiLevelType w:val="hybridMultilevel"/>
    <w:tmpl w:val="79D8B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6038C"/>
    <w:multiLevelType w:val="hybridMultilevel"/>
    <w:tmpl w:val="622A4D6E"/>
    <w:lvl w:ilvl="0" w:tplc="B9F457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B5C8F"/>
    <w:multiLevelType w:val="hybridMultilevel"/>
    <w:tmpl w:val="3378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7825F9"/>
    <w:multiLevelType w:val="multilevel"/>
    <w:tmpl w:val="C6E82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992C8A"/>
    <w:multiLevelType w:val="hybridMultilevel"/>
    <w:tmpl w:val="D0D8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DEB7885"/>
    <w:multiLevelType w:val="hybridMultilevel"/>
    <w:tmpl w:val="4E08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3"/>
  </w:num>
  <w:num w:numId="7">
    <w:abstractNumId w:val="0"/>
  </w:num>
  <w:num w:numId="8">
    <w:abstractNumId w:val="6"/>
  </w:num>
  <w:num w:numId="9">
    <w:abstractNumId w:val="7"/>
  </w:num>
  <w:num w:numId="10">
    <w:abstractNumId w:val="3"/>
  </w:num>
  <w:num w:numId="11">
    <w:abstractNumId w:val="2"/>
  </w:num>
  <w:num w:numId="12">
    <w:abstractNumId w:val="14"/>
  </w:num>
  <w:num w:numId="13">
    <w:abstractNumId w:val="1"/>
  </w:num>
  <w:num w:numId="14">
    <w:abstractNumId w:val="1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D87FFE"/>
    <w:rsid w:val="000A5FA5"/>
    <w:rsid w:val="000B107B"/>
    <w:rsid w:val="0014525F"/>
    <w:rsid w:val="00195ACD"/>
    <w:rsid w:val="0023416C"/>
    <w:rsid w:val="00436A88"/>
    <w:rsid w:val="00477464"/>
    <w:rsid w:val="004F0290"/>
    <w:rsid w:val="00526417"/>
    <w:rsid w:val="005A6F11"/>
    <w:rsid w:val="00602C20"/>
    <w:rsid w:val="00647C3C"/>
    <w:rsid w:val="0094705D"/>
    <w:rsid w:val="009D36A1"/>
    <w:rsid w:val="00A56390"/>
    <w:rsid w:val="00C93CD1"/>
    <w:rsid w:val="00D633A4"/>
    <w:rsid w:val="00D87FFE"/>
    <w:rsid w:val="00E034F8"/>
    <w:rsid w:val="00F24E46"/>
    <w:rsid w:val="00FC3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FE"/>
  </w:style>
  <w:style w:type="paragraph" w:styleId="1">
    <w:name w:val="heading 1"/>
    <w:basedOn w:val="a"/>
    <w:next w:val="a"/>
    <w:link w:val="10"/>
    <w:qFormat/>
    <w:rsid w:val="00D87FFE"/>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qFormat/>
    <w:rsid w:val="00D87FFE"/>
    <w:pPr>
      <w:keepNext/>
      <w:jc w:val="left"/>
      <w:outlineLvl w:val="1"/>
    </w:pPr>
    <w:rPr>
      <w:rFonts w:eastAsia="Times New Roman"/>
      <w:sz w:val="28"/>
      <w:szCs w:val="20"/>
    </w:rPr>
  </w:style>
  <w:style w:type="paragraph" w:styleId="3">
    <w:name w:val="heading 3"/>
    <w:basedOn w:val="a"/>
    <w:next w:val="a"/>
    <w:link w:val="30"/>
    <w:qFormat/>
    <w:rsid w:val="00D87FFE"/>
    <w:pPr>
      <w:keepNext/>
      <w:jc w:val="center"/>
      <w:outlineLvl w:val="2"/>
    </w:pPr>
    <w:rPr>
      <w:rFonts w:eastAsia="Times New Roman"/>
      <w:b/>
      <w:caps/>
      <w:spacing w:val="20"/>
      <w:sz w:val="32"/>
      <w:szCs w:val="20"/>
    </w:rPr>
  </w:style>
  <w:style w:type="paragraph" w:styleId="5">
    <w:name w:val="heading 5"/>
    <w:basedOn w:val="a"/>
    <w:next w:val="a"/>
    <w:link w:val="50"/>
    <w:semiHidden/>
    <w:unhideWhenUsed/>
    <w:qFormat/>
    <w:rsid w:val="00D87FFE"/>
    <w:pPr>
      <w:keepNext/>
      <w:keepLines/>
      <w:spacing w:before="200"/>
      <w:jc w:val="left"/>
      <w:outlineLvl w:val="4"/>
    </w:pPr>
    <w:rPr>
      <w:rFonts w:ascii="Cambria" w:eastAsia="Times New Roman" w:hAnsi="Cambria"/>
      <w:color w:val="243F6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FE"/>
    <w:rPr>
      <w:rFonts w:ascii="Cambria" w:eastAsia="Times New Roman" w:hAnsi="Cambria"/>
      <w:b/>
      <w:bCs/>
      <w:kern w:val="32"/>
      <w:sz w:val="32"/>
      <w:szCs w:val="32"/>
    </w:rPr>
  </w:style>
  <w:style w:type="character" w:customStyle="1" w:styleId="20">
    <w:name w:val="Заголовок 2 Знак"/>
    <w:basedOn w:val="a0"/>
    <w:link w:val="2"/>
    <w:rsid w:val="00D87FFE"/>
    <w:rPr>
      <w:rFonts w:eastAsia="Times New Roman"/>
      <w:sz w:val="28"/>
      <w:szCs w:val="20"/>
    </w:rPr>
  </w:style>
  <w:style w:type="character" w:customStyle="1" w:styleId="30">
    <w:name w:val="Заголовок 3 Знак"/>
    <w:basedOn w:val="a0"/>
    <w:link w:val="3"/>
    <w:rsid w:val="00D87FFE"/>
    <w:rPr>
      <w:rFonts w:eastAsia="Times New Roman"/>
      <w:b/>
      <w:caps/>
      <w:spacing w:val="20"/>
      <w:sz w:val="32"/>
      <w:szCs w:val="20"/>
    </w:rPr>
  </w:style>
  <w:style w:type="character" w:customStyle="1" w:styleId="50">
    <w:name w:val="Заголовок 5 Знак"/>
    <w:basedOn w:val="a0"/>
    <w:link w:val="5"/>
    <w:semiHidden/>
    <w:rsid w:val="00D87FFE"/>
    <w:rPr>
      <w:rFonts w:ascii="Cambria" w:eastAsia="Times New Roman" w:hAnsi="Cambria"/>
      <w:color w:val="243F60"/>
      <w:sz w:val="22"/>
      <w:szCs w:val="20"/>
    </w:rPr>
  </w:style>
  <w:style w:type="paragraph" w:customStyle="1" w:styleId="ConsPlusNormal">
    <w:name w:val="ConsPlusNormal"/>
    <w:rsid w:val="00D87FFE"/>
    <w:pPr>
      <w:widowControl w:val="0"/>
      <w:autoSpaceDE w:val="0"/>
      <w:autoSpaceDN w:val="0"/>
      <w:jc w:val="left"/>
    </w:pPr>
    <w:rPr>
      <w:rFonts w:eastAsia="Times New Roman"/>
      <w:szCs w:val="20"/>
      <w:lang w:eastAsia="ru-RU"/>
    </w:rPr>
  </w:style>
  <w:style w:type="paragraph" w:customStyle="1" w:styleId="ConsPlusNonformat">
    <w:name w:val="ConsPlusNonformat"/>
    <w:rsid w:val="00D87FF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87FFE"/>
    <w:pPr>
      <w:widowControl w:val="0"/>
      <w:autoSpaceDE w:val="0"/>
      <w:autoSpaceDN w:val="0"/>
      <w:jc w:val="left"/>
    </w:pPr>
    <w:rPr>
      <w:rFonts w:eastAsia="Times New Roman"/>
      <w:b/>
      <w:szCs w:val="20"/>
      <w:lang w:eastAsia="ru-RU"/>
    </w:rPr>
  </w:style>
  <w:style w:type="paragraph" w:customStyle="1" w:styleId="ConsPlusTitlePage">
    <w:name w:val="ConsPlusTitlePage"/>
    <w:rsid w:val="00D87FFE"/>
    <w:pPr>
      <w:widowControl w:val="0"/>
      <w:autoSpaceDE w:val="0"/>
      <w:autoSpaceDN w:val="0"/>
      <w:jc w:val="left"/>
    </w:pPr>
    <w:rPr>
      <w:rFonts w:ascii="Tahoma" w:eastAsia="Times New Roman" w:hAnsi="Tahoma" w:cs="Tahoma"/>
      <w:sz w:val="20"/>
      <w:szCs w:val="20"/>
      <w:lang w:eastAsia="ru-RU"/>
    </w:rPr>
  </w:style>
  <w:style w:type="character" w:styleId="a3">
    <w:name w:val="Hyperlink"/>
    <w:basedOn w:val="a0"/>
    <w:unhideWhenUsed/>
    <w:rsid w:val="00D87FFE"/>
    <w:rPr>
      <w:color w:val="0000FF" w:themeColor="hyperlink"/>
      <w:u w:val="single"/>
    </w:rPr>
  </w:style>
  <w:style w:type="character" w:styleId="a4">
    <w:name w:val="FollowedHyperlink"/>
    <w:basedOn w:val="a0"/>
    <w:uiPriority w:val="99"/>
    <w:semiHidden/>
    <w:unhideWhenUsed/>
    <w:rsid w:val="00D87FFE"/>
    <w:rPr>
      <w:color w:val="800080" w:themeColor="followedHyperlink"/>
      <w:u w:val="single"/>
    </w:rPr>
  </w:style>
  <w:style w:type="numbering" w:customStyle="1" w:styleId="11">
    <w:name w:val="Нет списка1"/>
    <w:next w:val="a2"/>
    <w:uiPriority w:val="99"/>
    <w:semiHidden/>
    <w:unhideWhenUsed/>
    <w:rsid w:val="00D87FFE"/>
  </w:style>
  <w:style w:type="table" w:styleId="a5">
    <w:name w:val="Table Grid"/>
    <w:basedOn w:val="a1"/>
    <w:uiPriority w:val="59"/>
    <w:rsid w:val="00D87FFE"/>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D87FFE"/>
    <w:pPr>
      <w:jc w:val="left"/>
    </w:pPr>
    <w:rPr>
      <w:rFonts w:ascii="Tahoma" w:eastAsia="Times New Roman" w:hAnsi="Tahoma"/>
      <w:sz w:val="16"/>
      <w:szCs w:val="16"/>
      <w:lang w:eastAsia="ru-RU"/>
    </w:rPr>
  </w:style>
  <w:style w:type="character" w:customStyle="1" w:styleId="a7">
    <w:name w:val="Текст выноски Знак"/>
    <w:basedOn w:val="a0"/>
    <w:link w:val="a6"/>
    <w:semiHidden/>
    <w:rsid w:val="00D87FFE"/>
    <w:rPr>
      <w:rFonts w:ascii="Tahoma" w:eastAsia="Times New Roman" w:hAnsi="Tahoma"/>
      <w:sz w:val="16"/>
      <w:szCs w:val="16"/>
      <w:lang w:eastAsia="ru-RU"/>
    </w:rPr>
  </w:style>
  <w:style w:type="paragraph" w:customStyle="1" w:styleId="headertext">
    <w:name w:val="headertext"/>
    <w:uiPriority w:val="99"/>
    <w:rsid w:val="00D87FFE"/>
    <w:pPr>
      <w:widowControl w:val="0"/>
      <w:autoSpaceDE w:val="0"/>
      <w:autoSpaceDN w:val="0"/>
      <w:adjustRightInd w:val="0"/>
      <w:jc w:val="left"/>
    </w:pPr>
    <w:rPr>
      <w:rFonts w:ascii="Arial" w:eastAsia="Times New Roman" w:hAnsi="Arial" w:cs="Arial"/>
      <w:b/>
      <w:bCs/>
      <w:sz w:val="22"/>
      <w:szCs w:val="22"/>
      <w:lang w:val="en-US"/>
    </w:rPr>
  </w:style>
  <w:style w:type="paragraph" w:styleId="a8">
    <w:name w:val="header"/>
    <w:basedOn w:val="a"/>
    <w:link w:val="a9"/>
    <w:rsid w:val="00D87FFE"/>
    <w:pPr>
      <w:tabs>
        <w:tab w:val="center" w:pos="4677"/>
        <w:tab w:val="right" w:pos="9355"/>
      </w:tabs>
      <w:jc w:val="left"/>
    </w:pPr>
    <w:rPr>
      <w:rFonts w:eastAsia="Times New Roman"/>
      <w:sz w:val="22"/>
      <w:szCs w:val="20"/>
    </w:rPr>
  </w:style>
  <w:style w:type="character" w:customStyle="1" w:styleId="a9">
    <w:name w:val="Верхний колонтитул Знак"/>
    <w:basedOn w:val="a0"/>
    <w:link w:val="a8"/>
    <w:rsid w:val="00D87FFE"/>
    <w:rPr>
      <w:rFonts w:eastAsia="Times New Roman"/>
      <w:sz w:val="22"/>
      <w:szCs w:val="20"/>
    </w:rPr>
  </w:style>
  <w:style w:type="paragraph" w:styleId="aa">
    <w:name w:val="footer"/>
    <w:basedOn w:val="a"/>
    <w:link w:val="ab"/>
    <w:uiPriority w:val="99"/>
    <w:rsid w:val="00D87FFE"/>
    <w:pPr>
      <w:tabs>
        <w:tab w:val="center" w:pos="4677"/>
        <w:tab w:val="right" w:pos="9355"/>
      </w:tabs>
      <w:jc w:val="left"/>
    </w:pPr>
    <w:rPr>
      <w:rFonts w:eastAsia="Times New Roman"/>
      <w:sz w:val="22"/>
      <w:szCs w:val="20"/>
    </w:rPr>
  </w:style>
  <w:style w:type="character" w:customStyle="1" w:styleId="ab">
    <w:name w:val="Нижний колонтитул Знак"/>
    <w:basedOn w:val="a0"/>
    <w:link w:val="aa"/>
    <w:uiPriority w:val="99"/>
    <w:rsid w:val="00D87FFE"/>
    <w:rPr>
      <w:rFonts w:eastAsia="Times New Roman"/>
      <w:sz w:val="22"/>
      <w:szCs w:val="20"/>
    </w:rPr>
  </w:style>
  <w:style w:type="paragraph" w:styleId="ac">
    <w:name w:val="Body Text Indent"/>
    <w:basedOn w:val="a"/>
    <w:link w:val="ad"/>
    <w:rsid w:val="00D87FFE"/>
    <w:pPr>
      <w:ind w:firstLine="720"/>
    </w:pPr>
    <w:rPr>
      <w:rFonts w:eastAsia="Times New Roman"/>
      <w:b/>
      <w:bCs/>
      <w:sz w:val="28"/>
      <w:szCs w:val="20"/>
    </w:rPr>
  </w:style>
  <w:style w:type="character" w:customStyle="1" w:styleId="ad">
    <w:name w:val="Основной текст с отступом Знак"/>
    <w:basedOn w:val="a0"/>
    <w:link w:val="ac"/>
    <w:rsid w:val="00D87FFE"/>
    <w:rPr>
      <w:rFonts w:eastAsia="Times New Roman"/>
      <w:b/>
      <w:bCs/>
      <w:sz w:val="28"/>
      <w:szCs w:val="20"/>
    </w:rPr>
  </w:style>
  <w:style w:type="paragraph" w:styleId="ae">
    <w:name w:val="No Spacing"/>
    <w:basedOn w:val="a"/>
    <w:link w:val="af"/>
    <w:uiPriority w:val="1"/>
    <w:qFormat/>
    <w:rsid w:val="00D87FFE"/>
    <w:pPr>
      <w:jc w:val="left"/>
    </w:pPr>
    <w:rPr>
      <w:rFonts w:ascii="Calibri" w:eastAsia="Times New Roman" w:hAnsi="Calibri"/>
      <w:szCs w:val="32"/>
      <w:lang w:val="en-US" w:bidi="en-US"/>
    </w:rPr>
  </w:style>
  <w:style w:type="paragraph" w:styleId="af0">
    <w:name w:val="Plain Text"/>
    <w:basedOn w:val="a"/>
    <w:link w:val="af1"/>
    <w:uiPriority w:val="99"/>
    <w:rsid w:val="00D87FFE"/>
    <w:pPr>
      <w:jc w:val="left"/>
    </w:pPr>
    <w:rPr>
      <w:rFonts w:ascii="Courier New" w:eastAsia="Times New Roman" w:hAnsi="Courier New"/>
      <w:sz w:val="20"/>
      <w:szCs w:val="20"/>
    </w:rPr>
  </w:style>
  <w:style w:type="character" w:customStyle="1" w:styleId="af1">
    <w:name w:val="Текст Знак"/>
    <w:basedOn w:val="a0"/>
    <w:link w:val="af0"/>
    <w:uiPriority w:val="99"/>
    <w:rsid w:val="00D87FFE"/>
    <w:rPr>
      <w:rFonts w:ascii="Courier New" w:eastAsia="Times New Roman" w:hAnsi="Courier New"/>
      <w:sz w:val="20"/>
      <w:szCs w:val="20"/>
    </w:rPr>
  </w:style>
  <w:style w:type="paragraph" w:styleId="af2">
    <w:name w:val="Body Text"/>
    <w:basedOn w:val="a"/>
    <w:link w:val="af3"/>
    <w:rsid w:val="00D87FFE"/>
    <w:pPr>
      <w:spacing w:after="120"/>
      <w:jc w:val="left"/>
    </w:pPr>
    <w:rPr>
      <w:rFonts w:eastAsia="Times New Roman"/>
      <w:sz w:val="22"/>
      <w:szCs w:val="20"/>
    </w:rPr>
  </w:style>
  <w:style w:type="character" w:customStyle="1" w:styleId="af3">
    <w:name w:val="Основной текст Знак"/>
    <w:basedOn w:val="a0"/>
    <w:link w:val="af2"/>
    <w:rsid w:val="00D87FFE"/>
    <w:rPr>
      <w:rFonts w:eastAsia="Times New Roman"/>
      <w:sz w:val="22"/>
      <w:szCs w:val="20"/>
    </w:rPr>
  </w:style>
  <w:style w:type="paragraph" w:styleId="21">
    <w:name w:val="Body Text 2"/>
    <w:basedOn w:val="a"/>
    <w:link w:val="22"/>
    <w:rsid w:val="00D87FFE"/>
    <w:pPr>
      <w:spacing w:after="120" w:line="480" w:lineRule="auto"/>
      <w:jc w:val="left"/>
    </w:pPr>
    <w:rPr>
      <w:rFonts w:eastAsia="Times New Roman"/>
      <w:sz w:val="22"/>
      <w:szCs w:val="20"/>
    </w:rPr>
  </w:style>
  <w:style w:type="character" w:customStyle="1" w:styleId="22">
    <w:name w:val="Основной текст 2 Знак"/>
    <w:basedOn w:val="a0"/>
    <w:link w:val="21"/>
    <w:rsid w:val="00D87FFE"/>
    <w:rPr>
      <w:rFonts w:eastAsia="Times New Roman"/>
      <w:sz w:val="22"/>
      <w:szCs w:val="20"/>
    </w:rPr>
  </w:style>
  <w:style w:type="paragraph" w:customStyle="1" w:styleId="210">
    <w:name w:val="Основной текст 21"/>
    <w:basedOn w:val="a"/>
    <w:rsid w:val="00D87FFE"/>
    <w:pPr>
      <w:ind w:firstLine="720"/>
    </w:pPr>
    <w:rPr>
      <w:rFonts w:eastAsia="Times New Roman"/>
      <w:lang w:eastAsia="ru-RU"/>
    </w:rPr>
  </w:style>
  <w:style w:type="paragraph" w:customStyle="1" w:styleId="211">
    <w:name w:val="Основной текст с отступом 21"/>
    <w:basedOn w:val="a"/>
    <w:rsid w:val="00D87FFE"/>
    <w:pPr>
      <w:overflowPunct w:val="0"/>
      <w:autoSpaceDE w:val="0"/>
      <w:autoSpaceDN w:val="0"/>
      <w:adjustRightInd w:val="0"/>
      <w:ind w:firstLine="720"/>
      <w:textAlignment w:val="baseline"/>
    </w:pPr>
    <w:rPr>
      <w:rFonts w:eastAsia="Times New Roman"/>
      <w:szCs w:val="20"/>
      <w:lang w:eastAsia="ru-RU"/>
    </w:rPr>
  </w:style>
  <w:style w:type="paragraph" w:styleId="af4">
    <w:name w:val="List Paragraph"/>
    <w:basedOn w:val="a"/>
    <w:uiPriority w:val="34"/>
    <w:qFormat/>
    <w:rsid w:val="00D87FFE"/>
    <w:pPr>
      <w:ind w:left="720"/>
      <w:contextualSpacing/>
      <w:jc w:val="left"/>
    </w:pPr>
    <w:rPr>
      <w:rFonts w:eastAsia="Times New Roman"/>
      <w:sz w:val="22"/>
      <w:szCs w:val="20"/>
      <w:lang w:eastAsia="ru-RU"/>
    </w:rPr>
  </w:style>
  <w:style w:type="paragraph" w:styleId="af5">
    <w:name w:val="Body Text First Indent"/>
    <w:basedOn w:val="af2"/>
    <w:link w:val="af6"/>
    <w:rsid w:val="00D87FFE"/>
    <w:pPr>
      <w:spacing w:after="0"/>
      <w:ind w:firstLine="360"/>
    </w:pPr>
  </w:style>
  <w:style w:type="character" w:customStyle="1" w:styleId="af6">
    <w:name w:val="Красная строка Знак"/>
    <w:basedOn w:val="af3"/>
    <w:link w:val="af5"/>
    <w:rsid w:val="00D87FFE"/>
  </w:style>
  <w:style w:type="paragraph" w:customStyle="1" w:styleId="12">
    <w:name w:val="Без интервала1"/>
    <w:rsid w:val="00D87FFE"/>
    <w:pPr>
      <w:jc w:val="left"/>
    </w:pPr>
    <w:rPr>
      <w:rFonts w:eastAsia="Calibri"/>
      <w:sz w:val="20"/>
      <w:szCs w:val="20"/>
      <w:lang w:eastAsia="ru-RU"/>
    </w:rPr>
  </w:style>
  <w:style w:type="paragraph" w:customStyle="1" w:styleId="13">
    <w:name w:val="Абзац списка1"/>
    <w:basedOn w:val="a"/>
    <w:rsid w:val="00D87FFE"/>
    <w:pPr>
      <w:ind w:left="720"/>
      <w:contextualSpacing/>
      <w:jc w:val="left"/>
    </w:pPr>
    <w:rPr>
      <w:rFonts w:eastAsia="Century Schoolbook"/>
      <w:sz w:val="20"/>
      <w:szCs w:val="20"/>
      <w:lang w:eastAsia="ru-RU"/>
    </w:rPr>
  </w:style>
  <w:style w:type="paragraph" w:styleId="23">
    <w:name w:val="Body Text Indent 2"/>
    <w:basedOn w:val="a"/>
    <w:link w:val="24"/>
    <w:rsid w:val="00D87FFE"/>
    <w:pPr>
      <w:spacing w:after="120" w:line="480" w:lineRule="auto"/>
      <w:ind w:left="283"/>
      <w:jc w:val="left"/>
    </w:pPr>
    <w:rPr>
      <w:rFonts w:eastAsia="Times New Roman"/>
      <w:sz w:val="22"/>
      <w:szCs w:val="20"/>
    </w:rPr>
  </w:style>
  <w:style w:type="character" w:customStyle="1" w:styleId="24">
    <w:name w:val="Основной текст с отступом 2 Знак"/>
    <w:basedOn w:val="a0"/>
    <w:link w:val="23"/>
    <w:rsid w:val="00D87FFE"/>
    <w:rPr>
      <w:rFonts w:eastAsia="Times New Roman"/>
      <w:sz w:val="22"/>
      <w:szCs w:val="20"/>
    </w:rPr>
  </w:style>
  <w:style w:type="paragraph" w:customStyle="1" w:styleId="220">
    <w:name w:val="Основной текст с отступом 22"/>
    <w:basedOn w:val="a"/>
    <w:rsid w:val="00D87FFE"/>
    <w:pPr>
      <w:overflowPunct w:val="0"/>
      <w:autoSpaceDE w:val="0"/>
      <w:autoSpaceDN w:val="0"/>
      <w:adjustRightInd w:val="0"/>
      <w:ind w:firstLine="720"/>
      <w:textAlignment w:val="baseline"/>
    </w:pPr>
    <w:rPr>
      <w:rFonts w:eastAsia="Times New Roman"/>
      <w:szCs w:val="20"/>
      <w:lang w:eastAsia="ru-RU"/>
    </w:rPr>
  </w:style>
  <w:style w:type="character" w:styleId="af7">
    <w:name w:val="Emphasis"/>
    <w:qFormat/>
    <w:rsid w:val="00D87FFE"/>
    <w:rPr>
      <w:i/>
      <w:iCs/>
    </w:rPr>
  </w:style>
  <w:style w:type="paragraph" w:customStyle="1" w:styleId="xl26">
    <w:name w:val="xl26"/>
    <w:basedOn w:val="a"/>
    <w:rsid w:val="00D87FFE"/>
    <w:pPr>
      <w:spacing w:before="100" w:beforeAutospacing="1" w:after="100" w:afterAutospacing="1"/>
      <w:jc w:val="left"/>
    </w:pPr>
    <w:rPr>
      <w:rFonts w:eastAsia="Times New Roman"/>
      <w:lang w:eastAsia="ru-RU"/>
    </w:rPr>
  </w:style>
  <w:style w:type="paragraph" w:customStyle="1" w:styleId="230">
    <w:name w:val="Основной текст с отступом 23"/>
    <w:basedOn w:val="a"/>
    <w:rsid w:val="00D87FFE"/>
    <w:pPr>
      <w:overflowPunct w:val="0"/>
      <w:autoSpaceDE w:val="0"/>
      <w:autoSpaceDN w:val="0"/>
      <w:adjustRightInd w:val="0"/>
      <w:ind w:firstLine="720"/>
      <w:textAlignment w:val="baseline"/>
    </w:pPr>
    <w:rPr>
      <w:rFonts w:eastAsia="Times New Roman"/>
      <w:szCs w:val="20"/>
      <w:lang w:eastAsia="ru-RU"/>
    </w:rPr>
  </w:style>
  <w:style w:type="character" w:customStyle="1" w:styleId="af8">
    <w:name w:val="Основной текст_"/>
    <w:link w:val="14"/>
    <w:rsid w:val="00D87FFE"/>
    <w:rPr>
      <w:rFonts w:eastAsia="Times New Roman"/>
      <w:sz w:val="22"/>
      <w:szCs w:val="22"/>
      <w:shd w:val="clear" w:color="auto" w:fill="FFFFFF"/>
    </w:rPr>
  </w:style>
  <w:style w:type="character" w:customStyle="1" w:styleId="Tahoma10pt">
    <w:name w:val="Основной текст + Tahoma;10 pt;Курсив"/>
    <w:rsid w:val="00D87FFE"/>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5">
    <w:name w:val="Основной текст (2)_"/>
    <w:link w:val="26"/>
    <w:rsid w:val="00D87FFE"/>
    <w:rPr>
      <w:rFonts w:eastAsia="Times New Roman"/>
      <w:spacing w:val="1"/>
      <w:sz w:val="19"/>
      <w:szCs w:val="19"/>
      <w:shd w:val="clear" w:color="auto" w:fill="FFFFFF"/>
    </w:rPr>
  </w:style>
  <w:style w:type="paragraph" w:customStyle="1" w:styleId="14">
    <w:name w:val="Основной текст1"/>
    <w:basedOn w:val="a"/>
    <w:link w:val="af8"/>
    <w:rsid w:val="00D87FFE"/>
    <w:pPr>
      <w:widowControl w:val="0"/>
      <w:shd w:val="clear" w:color="auto" w:fill="FFFFFF"/>
      <w:spacing w:before="240" w:line="414" w:lineRule="exact"/>
      <w:jc w:val="left"/>
    </w:pPr>
    <w:rPr>
      <w:rFonts w:eastAsia="Times New Roman"/>
      <w:sz w:val="22"/>
      <w:szCs w:val="22"/>
    </w:rPr>
  </w:style>
  <w:style w:type="paragraph" w:customStyle="1" w:styleId="26">
    <w:name w:val="Основной текст (2)"/>
    <w:basedOn w:val="a"/>
    <w:link w:val="25"/>
    <w:rsid w:val="00D87FFE"/>
    <w:pPr>
      <w:widowControl w:val="0"/>
      <w:shd w:val="clear" w:color="auto" w:fill="FFFFFF"/>
      <w:spacing w:before="420" w:line="230" w:lineRule="exact"/>
      <w:jc w:val="left"/>
    </w:pPr>
    <w:rPr>
      <w:rFonts w:eastAsia="Times New Roman"/>
      <w:spacing w:val="1"/>
      <w:sz w:val="19"/>
      <w:szCs w:val="19"/>
    </w:rPr>
  </w:style>
  <w:style w:type="character" w:customStyle="1" w:styleId="af">
    <w:name w:val="Без интервала Знак"/>
    <w:basedOn w:val="a0"/>
    <w:link w:val="ae"/>
    <w:uiPriority w:val="1"/>
    <w:rsid w:val="00D87FFE"/>
    <w:rPr>
      <w:rFonts w:ascii="Calibri" w:eastAsia="Times New Roman" w:hAnsi="Calibri"/>
      <w:szCs w:val="32"/>
      <w:lang w:val="en-US" w:bidi="en-US"/>
    </w:rPr>
  </w:style>
  <w:style w:type="paragraph" w:customStyle="1" w:styleId="240">
    <w:name w:val="Основной текст с отступом 24"/>
    <w:basedOn w:val="a"/>
    <w:rsid w:val="00D87FFE"/>
    <w:pPr>
      <w:overflowPunct w:val="0"/>
      <w:autoSpaceDE w:val="0"/>
      <w:autoSpaceDN w:val="0"/>
      <w:adjustRightInd w:val="0"/>
      <w:ind w:firstLine="720"/>
      <w:textAlignment w:val="baseline"/>
    </w:pPr>
    <w:rPr>
      <w:rFonts w:eastAsia="Times New Roman"/>
      <w:szCs w:val="20"/>
      <w:lang w:eastAsia="ru-RU"/>
    </w:rPr>
  </w:style>
  <w:style w:type="paragraph" w:customStyle="1" w:styleId="27">
    <w:name w:val="Основной текст2"/>
    <w:basedOn w:val="a"/>
    <w:rsid w:val="00D87FFE"/>
    <w:pPr>
      <w:widowControl w:val="0"/>
      <w:shd w:val="clear" w:color="auto" w:fill="FFFFFF"/>
      <w:spacing w:before="300" w:after="2340" w:line="226" w:lineRule="exact"/>
      <w:jc w:val="center"/>
    </w:pPr>
    <w:rPr>
      <w:rFonts w:ascii="Lucida Sans Unicode" w:eastAsia="Lucida Sans Unicode" w:hAnsi="Lucida Sans Unicode" w:cs="Lucida Sans Unicode"/>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b@meria.sbor.ru" TargetMode="External"/><Relationship Id="rId5" Type="http://schemas.openxmlformats.org/officeDocument/2006/relationships/hyperlink" Target="http://www.sb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10298</Words>
  <Characters>58700</Characters>
  <Application>Microsoft Office Word</Application>
  <DocSecurity>0</DocSecurity>
  <Lines>489</Lines>
  <Paragraphs>137</Paragraphs>
  <ScaleCrop>false</ScaleCrop>
  <Company>  </Company>
  <LinksUpToDate>false</LinksUpToDate>
  <CharactersWithSpaces>68861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7</cp:revision>
  <dcterms:created xsi:type="dcterms:W3CDTF">2019-04-30T07:27:00Z</dcterms:created>
  <dcterms:modified xsi:type="dcterms:W3CDTF">2019-04-30T13:28:00Z</dcterms:modified>
</cp:coreProperties>
</file>